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5000" w:type="pct"/>
        <w:tblInd w:w="0" w:type="dxa"/>
        <w:tblLayout w:type="autofit"/>
        <w:tblCellMar>
          <w:top w:w="0" w:type="dxa"/>
          <w:left w:w="108" w:type="dxa"/>
          <w:bottom w:w="0" w:type="dxa"/>
          <w:right w:w="108" w:type="dxa"/>
        </w:tblCellMar>
      </w:tblPr>
      <w:tblGrid>
        <w:gridCol w:w="2840"/>
        <w:gridCol w:w="2841"/>
        <w:gridCol w:w="2841"/>
      </w:tblGrid>
      <w:tr w14:paraId="6976C7B4">
        <w:tblPrEx>
          <w:tblCellMar>
            <w:top w:w="0" w:type="dxa"/>
            <w:left w:w="108" w:type="dxa"/>
            <w:bottom w:w="0" w:type="dxa"/>
            <w:right w:w="108" w:type="dxa"/>
          </w:tblCellMar>
        </w:tblPrEx>
        <w:tc>
          <w:tcPr>
            <w:tcW w:w="1666" w:type="pct"/>
            <w:noWrap w:val="0"/>
            <w:vAlign w:val="top"/>
          </w:tcPr>
          <w:p w14:paraId="3E849F67">
            <w:pPr>
              <w:adjustRightInd w:val="0"/>
              <w:snapToGrid w:val="0"/>
              <w:spacing w:line="440" w:lineRule="exact"/>
              <w:rPr>
                <w:rFonts w:hint="default" w:ascii="Times New Roman" w:hAnsi="Times New Roman" w:cs="Times New Roman"/>
                <w:sz w:val="24"/>
              </w:rPr>
            </w:pPr>
            <w:r>
              <w:rPr>
                <w:rFonts w:hint="default" w:ascii="Times New Roman" w:hAnsi="Times New Roman" w:cs="Times New Roman"/>
                <w:sz w:val="24"/>
              </w:rPr>
              <w:t>证券代码：000881</w:t>
            </w:r>
          </w:p>
        </w:tc>
        <w:tc>
          <w:tcPr>
            <w:tcW w:w="1667" w:type="pct"/>
            <w:noWrap w:val="0"/>
            <w:vAlign w:val="top"/>
          </w:tcPr>
          <w:p w14:paraId="657303D2">
            <w:pPr>
              <w:adjustRightInd w:val="0"/>
              <w:snapToGrid w:val="0"/>
              <w:spacing w:line="440" w:lineRule="exact"/>
              <w:jc w:val="center"/>
              <w:rPr>
                <w:rFonts w:hint="default" w:ascii="Times New Roman" w:hAnsi="Times New Roman" w:cs="Times New Roman"/>
                <w:sz w:val="24"/>
              </w:rPr>
            </w:pPr>
            <w:r>
              <w:rPr>
                <w:rFonts w:hint="default" w:ascii="Times New Roman" w:hAnsi="Times New Roman" w:cs="Times New Roman"/>
                <w:sz w:val="24"/>
              </w:rPr>
              <w:t>证券简称：中广核技</w:t>
            </w:r>
          </w:p>
        </w:tc>
        <w:tc>
          <w:tcPr>
            <w:tcW w:w="1667" w:type="pct"/>
            <w:noWrap w:val="0"/>
            <w:vAlign w:val="top"/>
          </w:tcPr>
          <w:p w14:paraId="042AEA60">
            <w:pPr>
              <w:adjustRightInd w:val="0"/>
              <w:snapToGrid w:val="0"/>
              <w:spacing w:line="440" w:lineRule="exact"/>
              <w:jc w:val="righ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公告编号：202</w:t>
            </w:r>
            <w:r>
              <w:rPr>
                <w:rFonts w:hint="eastAsia" w:ascii="Times New Roman" w:hAnsi="Times New Roman" w:cs="Times New Roman"/>
                <w:color w:val="auto"/>
                <w:sz w:val="24"/>
                <w:lang w:val="en-US" w:eastAsia="zh-CN"/>
              </w:rPr>
              <w:t>4</w:t>
            </w:r>
            <w:r>
              <w:rPr>
                <w:rFonts w:hint="default" w:ascii="Times New Roman" w:hAnsi="Times New Roman" w:cs="Times New Roman"/>
                <w:color w:val="auto"/>
                <w:sz w:val="24"/>
              </w:rPr>
              <w:t>-0</w:t>
            </w:r>
            <w:r>
              <w:rPr>
                <w:rFonts w:hint="eastAsia" w:cs="Times New Roman"/>
                <w:color w:val="auto"/>
                <w:sz w:val="24"/>
                <w:lang w:val="en-US" w:eastAsia="zh-CN"/>
              </w:rPr>
              <w:t>54</w:t>
            </w:r>
          </w:p>
        </w:tc>
      </w:tr>
    </w:tbl>
    <w:p w14:paraId="0CFCC312">
      <w:pPr>
        <w:snapToGrid w:val="0"/>
        <w:spacing w:before="156" w:beforeLines="50"/>
        <w:jc w:val="center"/>
        <w:rPr>
          <w:rFonts w:hint="default" w:ascii="Times New Roman" w:hAnsi="Times New Roman" w:cs="Times New Roman"/>
          <w:b/>
          <w:sz w:val="36"/>
          <w:szCs w:val="36"/>
        </w:rPr>
      </w:pPr>
      <w:r>
        <w:rPr>
          <w:rFonts w:hint="default" w:ascii="Times New Roman" w:hAnsi="Times New Roman" w:cs="Times New Roman"/>
          <w:b/>
          <w:sz w:val="36"/>
          <w:szCs w:val="36"/>
        </w:rPr>
        <w:t>中广核核技术发展股份有限公司</w:t>
      </w:r>
    </w:p>
    <w:p w14:paraId="76ACCFEE">
      <w:pPr>
        <w:snapToGrid w:val="0"/>
        <w:jc w:val="center"/>
        <w:rPr>
          <w:rFonts w:hint="default" w:ascii="Times New Roman" w:hAnsi="Times New Roman" w:cs="Times New Roman"/>
          <w:b/>
          <w:sz w:val="36"/>
          <w:szCs w:val="36"/>
        </w:rPr>
      </w:pPr>
      <w:r>
        <w:rPr>
          <w:rFonts w:hint="default" w:ascii="Times New Roman" w:hAnsi="Times New Roman" w:cs="Times New Roman"/>
          <w:b/>
          <w:sz w:val="36"/>
          <w:szCs w:val="36"/>
        </w:rPr>
        <w:t>关于</w:t>
      </w:r>
      <w:r>
        <w:rPr>
          <w:rFonts w:hint="eastAsia" w:cs="Times New Roman"/>
          <w:b/>
          <w:sz w:val="36"/>
          <w:szCs w:val="36"/>
          <w:lang w:val="en-US" w:eastAsia="zh-CN"/>
        </w:rPr>
        <w:t>2022年股票期权激励计划第一个行权期行权条件未成就及注销部分股票期权的公告</w:t>
      </w:r>
    </w:p>
    <w:p w14:paraId="738A0115">
      <w:pPr>
        <w:snapToGrid w:val="0"/>
        <w:spacing w:before="156" w:beforeLines="50"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本公司及董事会全体成员保证信息披露的内容真实、准确、完整，没有虚假记载、误导性陈述或者重大遗漏。</w:t>
      </w:r>
    </w:p>
    <w:p w14:paraId="40303182">
      <w:pPr>
        <w:adjustRightInd w:val="0"/>
        <w:snapToGrid w:val="0"/>
        <w:spacing w:line="360" w:lineRule="auto"/>
        <w:ind w:firstLine="480" w:firstLineChars="200"/>
        <w:outlineLvl w:val="0"/>
        <w:rPr>
          <w:rFonts w:hint="default" w:ascii="Times New Roman" w:hAnsi="Times New Roman" w:cs="Times New Roman"/>
          <w:b w:val="0"/>
          <w:bCs/>
          <w:sz w:val="24"/>
          <w:szCs w:val="24"/>
        </w:rPr>
      </w:pPr>
      <w:r>
        <w:rPr>
          <w:rFonts w:hint="default" w:ascii="Times New Roman" w:hAnsi="Times New Roman" w:cs="Times New Roman"/>
          <w:b w:val="0"/>
          <w:bCs/>
          <w:sz w:val="24"/>
          <w:szCs w:val="24"/>
        </w:rPr>
        <w:t>中广核核技术发展股份有限公司（以下简称“公司”或“中广核技”）</w:t>
      </w:r>
      <w:r>
        <w:rPr>
          <w:rFonts w:hint="eastAsia" w:ascii="Times New Roman" w:hAnsi="Times New Roman" w:cs="Times New Roman"/>
          <w:b w:val="0"/>
          <w:bCs/>
          <w:sz w:val="24"/>
          <w:szCs w:val="24"/>
          <w:lang w:val="en-US" w:eastAsia="zh-CN"/>
        </w:rPr>
        <w:t>于2024年</w:t>
      </w:r>
      <w:r>
        <w:rPr>
          <w:rFonts w:hint="eastAsia" w:cs="Times New Roman"/>
          <w:b w:val="0"/>
          <w:bCs/>
          <w:sz w:val="24"/>
          <w:szCs w:val="24"/>
          <w:lang w:val="en-US" w:eastAsia="zh-CN"/>
        </w:rPr>
        <w:t>8</w:t>
      </w:r>
      <w:r>
        <w:rPr>
          <w:rFonts w:hint="eastAsia" w:ascii="Times New Roman" w:hAnsi="Times New Roman" w:cs="Times New Roman"/>
          <w:b w:val="0"/>
          <w:bCs/>
          <w:sz w:val="24"/>
          <w:szCs w:val="24"/>
          <w:lang w:val="en-US" w:eastAsia="zh-CN"/>
        </w:rPr>
        <w:t>月2</w:t>
      </w:r>
      <w:r>
        <w:rPr>
          <w:rFonts w:hint="eastAsia" w:cs="Times New Roman"/>
          <w:b w:val="0"/>
          <w:bCs/>
          <w:sz w:val="24"/>
          <w:szCs w:val="24"/>
          <w:lang w:val="en-US" w:eastAsia="zh-CN"/>
        </w:rPr>
        <w:t>8</w:t>
      </w:r>
      <w:r>
        <w:rPr>
          <w:rFonts w:hint="eastAsia" w:ascii="Times New Roman" w:hAnsi="Times New Roman" w:cs="Times New Roman"/>
          <w:b w:val="0"/>
          <w:bCs/>
          <w:sz w:val="24"/>
          <w:szCs w:val="24"/>
          <w:lang w:val="en-US" w:eastAsia="zh-CN"/>
        </w:rPr>
        <w:t>日召开的第十届董事会第十</w:t>
      </w:r>
      <w:r>
        <w:rPr>
          <w:rFonts w:hint="eastAsia" w:cs="Times New Roman"/>
          <w:b w:val="0"/>
          <w:bCs/>
          <w:sz w:val="24"/>
          <w:szCs w:val="24"/>
          <w:lang w:val="en-US" w:eastAsia="zh-CN"/>
        </w:rPr>
        <w:t>九</w:t>
      </w:r>
      <w:r>
        <w:rPr>
          <w:rFonts w:hint="eastAsia" w:ascii="Times New Roman" w:hAnsi="Times New Roman" w:cs="Times New Roman"/>
          <w:b w:val="0"/>
          <w:bCs/>
          <w:sz w:val="24"/>
          <w:szCs w:val="24"/>
          <w:lang w:val="en-US" w:eastAsia="zh-CN"/>
        </w:rPr>
        <w:t>次会议及第十届监事会第</w:t>
      </w:r>
      <w:r>
        <w:rPr>
          <w:rFonts w:hint="eastAsia" w:cs="Times New Roman"/>
          <w:b w:val="0"/>
          <w:bCs/>
          <w:sz w:val="24"/>
          <w:szCs w:val="24"/>
          <w:lang w:val="en-US" w:eastAsia="zh-CN"/>
        </w:rPr>
        <w:t>十</w:t>
      </w:r>
      <w:r>
        <w:rPr>
          <w:rFonts w:hint="eastAsia" w:ascii="Times New Roman" w:hAnsi="Times New Roman" w:cs="Times New Roman"/>
          <w:b w:val="0"/>
          <w:bCs/>
          <w:sz w:val="24"/>
          <w:szCs w:val="24"/>
          <w:lang w:val="en-US" w:eastAsia="zh-CN"/>
        </w:rPr>
        <w:t>次会议审议通过了《关于注销首</w:t>
      </w:r>
      <w:r>
        <w:rPr>
          <w:rFonts w:hint="eastAsia" w:cs="Times New Roman"/>
          <w:b w:val="0"/>
          <w:bCs/>
          <w:sz w:val="24"/>
          <w:szCs w:val="24"/>
          <w:lang w:val="en-US" w:eastAsia="zh-CN"/>
        </w:rPr>
        <w:t>期</w:t>
      </w:r>
      <w:r>
        <w:rPr>
          <w:rFonts w:hint="eastAsia" w:ascii="Times New Roman" w:hAnsi="Times New Roman" w:cs="Times New Roman"/>
          <w:b w:val="0"/>
          <w:bCs/>
          <w:sz w:val="24"/>
          <w:szCs w:val="24"/>
          <w:lang w:val="en-US" w:eastAsia="zh-CN"/>
        </w:rPr>
        <w:t>第一个行权期及离职人员股票期权的议案》</w:t>
      </w:r>
      <w:r>
        <w:rPr>
          <w:rFonts w:hint="eastAsia" w:cs="Times New Roman"/>
          <w:b w:val="0"/>
          <w:bCs/>
          <w:sz w:val="24"/>
          <w:szCs w:val="24"/>
          <w:lang w:val="en-US" w:eastAsia="zh-CN"/>
        </w:rPr>
        <w:t>，</w:t>
      </w:r>
      <w:r>
        <w:rPr>
          <w:rFonts w:hint="eastAsia" w:ascii="Times New Roman" w:hAnsi="Times New Roman" w:cs="Times New Roman"/>
          <w:b w:val="0"/>
          <w:bCs/>
          <w:sz w:val="24"/>
          <w:szCs w:val="24"/>
          <w:lang w:val="en-US" w:eastAsia="zh-CN"/>
        </w:rPr>
        <w:t>具体情况如下：</w:t>
      </w:r>
    </w:p>
    <w:p w14:paraId="0BAE5447">
      <w:pPr>
        <w:adjustRightInd w:val="0"/>
        <w:snapToGrid w:val="0"/>
        <w:spacing w:line="360" w:lineRule="auto"/>
        <w:ind w:firstLine="482" w:firstLineChars="200"/>
        <w:outlineLvl w:val="0"/>
        <w:rPr>
          <w:rFonts w:hint="default" w:ascii="Times New Roman" w:hAnsi="Times New Roman" w:eastAsia="宋体" w:cs="Times New Roman"/>
          <w:b/>
          <w:sz w:val="24"/>
          <w:szCs w:val="24"/>
          <w:lang w:val="en-US" w:eastAsia="zh-CN"/>
        </w:rPr>
      </w:pPr>
      <w:r>
        <w:rPr>
          <w:rFonts w:hint="default" w:ascii="Times New Roman" w:hAnsi="Times New Roman" w:cs="Times New Roman"/>
          <w:b/>
          <w:sz w:val="24"/>
          <w:szCs w:val="24"/>
        </w:rPr>
        <w:t>一、股票期权</w:t>
      </w:r>
      <w:r>
        <w:rPr>
          <w:rFonts w:hint="eastAsia" w:ascii="Times New Roman" w:hAnsi="Times New Roman" w:cs="Times New Roman"/>
          <w:b/>
          <w:sz w:val="24"/>
          <w:szCs w:val="24"/>
          <w:lang w:val="en-US" w:eastAsia="zh-CN"/>
        </w:rPr>
        <w:t>激励计划已履行的审批程序</w:t>
      </w:r>
    </w:p>
    <w:p w14:paraId="104748D6">
      <w:pPr>
        <w:adjustRightInd w:val="0"/>
        <w:snapToGrid w:val="0"/>
        <w:spacing w:before="50" w:after="50"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w:t>
      </w:r>
      <w:r>
        <w:rPr>
          <w:rFonts w:hint="eastAsia" w:cs="Times New Roman"/>
          <w:sz w:val="24"/>
          <w:szCs w:val="24"/>
          <w:lang w:eastAsia="zh-CN"/>
        </w:rPr>
        <w:t>.</w:t>
      </w:r>
      <w:r>
        <w:rPr>
          <w:rFonts w:hint="default" w:ascii="Times New Roman" w:hAnsi="Times New Roman" w:cs="Times New Roman"/>
          <w:sz w:val="24"/>
          <w:szCs w:val="24"/>
        </w:rPr>
        <w:t>2022年10月24日，公司董事会薪酬委员会拟订了《中广核核技术发展股份有限公司股票期权激励计划（草案）》</w:t>
      </w:r>
      <w:r>
        <w:rPr>
          <w:rFonts w:hint="eastAsia" w:ascii="宋体" w:hAnsi="宋体" w:eastAsia="宋体" w:cs="宋体"/>
          <w:sz w:val="24"/>
          <w:szCs w:val="24"/>
        </w:rPr>
        <w:t>（“《激励计划（草案）》”）</w:t>
      </w:r>
      <w:r>
        <w:rPr>
          <w:rFonts w:hint="default" w:ascii="Times New Roman" w:hAnsi="Times New Roman" w:cs="Times New Roman"/>
          <w:sz w:val="24"/>
          <w:szCs w:val="24"/>
        </w:rPr>
        <w:t>《公司股票期权激励计划首期实施方案（草案）》等相关议案，并提交公司董事会审议。</w:t>
      </w:r>
    </w:p>
    <w:p w14:paraId="65D107E1">
      <w:pPr>
        <w:adjustRightInd w:val="0"/>
        <w:snapToGrid w:val="0"/>
        <w:spacing w:before="50" w:after="50" w:line="360" w:lineRule="auto"/>
        <w:ind w:firstLine="480" w:firstLineChars="200"/>
        <w:rPr>
          <w:rFonts w:hint="default" w:ascii="Times New Roman" w:hAnsi="Times New Roman" w:cs="Times New Roman"/>
          <w:sz w:val="24"/>
          <w:szCs w:val="24"/>
        </w:rPr>
      </w:pPr>
      <w:r>
        <w:rPr>
          <w:rFonts w:hint="eastAsia" w:ascii="Times New Roman" w:hAnsi="Times New Roman" w:cs="Times New Roman"/>
          <w:sz w:val="24"/>
          <w:szCs w:val="24"/>
          <w:lang w:val="en-US" w:eastAsia="zh-CN"/>
        </w:rPr>
        <w:t>2</w:t>
      </w:r>
      <w:r>
        <w:rPr>
          <w:rFonts w:hint="eastAsia" w:cs="Times New Roman"/>
          <w:sz w:val="24"/>
          <w:szCs w:val="24"/>
          <w:lang w:val="en-US" w:eastAsia="zh-CN"/>
        </w:rPr>
        <w:t>.</w:t>
      </w:r>
      <w:r>
        <w:rPr>
          <w:rFonts w:hint="default" w:ascii="Times New Roman" w:hAnsi="Times New Roman" w:cs="Times New Roman"/>
          <w:sz w:val="24"/>
          <w:szCs w:val="24"/>
        </w:rPr>
        <w:t>2022年10月27日，公司召开第九届董事会第三十一次会议和第九届监事会第二十三次会议，审议通过了《关于公司〈股票期权激励计划（草案）〉及其摘要的议案》等与公司股票期权激励计划相关的议案。2022年11月2日，公司通过公司网站对激励对象名单进行了内部公示，公示时间为2022年11月3日至2022年11月14日。公示期间，公司员工可通过电子邮件、信函和来访等方式向公司监事会实名反映对激励对象的不同意见。截至公示期届满，公司监事会未收到对公示的激励对象名单提出的任何异议。2022年12月8日，公司收到公司实际控制人中国广核集团有限公司通知，国务院国有资产监督管理委员会已原则同意公司实施股票期权激励计划。 </w:t>
      </w:r>
    </w:p>
    <w:p w14:paraId="5118193F">
      <w:pPr>
        <w:adjustRightInd w:val="0"/>
        <w:snapToGrid w:val="0"/>
        <w:spacing w:before="50" w:after="50" w:line="360" w:lineRule="auto"/>
        <w:ind w:firstLine="480" w:firstLineChars="200"/>
        <w:rPr>
          <w:rFonts w:hint="default" w:ascii="Times New Roman" w:hAnsi="Times New Roman" w:cs="Times New Roman"/>
          <w:sz w:val="24"/>
          <w:szCs w:val="24"/>
        </w:rPr>
      </w:pPr>
      <w:r>
        <w:rPr>
          <w:rFonts w:hint="eastAsia" w:ascii="Times New Roman" w:hAnsi="Times New Roman" w:cs="Times New Roman"/>
          <w:sz w:val="24"/>
          <w:szCs w:val="24"/>
          <w:lang w:val="en-US" w:eastAsia="zh-CN"/>
        </w:rPr>
        <w:t>3</w:t>
      </w:r>
      <w:r>
        <w:rPr>
          <w:rFonts w:hint="eastAsia" w:cs="Times New Roman"/>
          <w:sz w:val="24"/>
          <w:szCs w:val="24"/>
          <w:lang w:val="en-US" w:eastAsia="zh-CN"/>
        </w:rPr>
        <w:t>.</w:t>
      </w:r>
      <w:r>
        <w:rPr>
          <w:rFonts w:hint="default" w:ascii="Times New Roman" w:hAnsi="Times New Roman" w:cs="Times New Roman"/>
          <w:sz w:val="24"/>
          <w:szCs w:val="24"/>
        </w:rPr>
        <w:t>2022年12月26日，公司召开2022年第七次临时股东大会，审议通过《关于公司〈股票期权激励计划（草案）〉及其摘要的议案》等与公司股票期权激励计划相关的议案，独立董事刘澄清向全体股东公开征集了委托投票权。公司在同日披露了《关于2022年股票期权激励计划内幕信息知情人及激励对象买卖公司股票情况的自查报告》。</w:t>
      </w:r>
    </w:p>
    <w:p w14:paraId="065B58B2">
      <w:pPr>
        <w:adjustRightInd w:val="0"/>
        <w:snapToGrid w:val="0"/>
        <w:spacing w:before="50" w:after="50" w:line="360" w:lineRule="auto"/>
        <w:ind w:firstLine="480" w:firstLineChars="200"/>
        <w:rPr>
          <w:rFonts w:hint="default" w:ascii="Times New Roman" w:hAnsi="Times New Roman" w:cs="Times New Roman"/>
          <w:sz w:val="24"/>
          <w:szCs w:val="24"/>
        </w:rPr>
      </w:pPr>
      <w:r>
        <w:rPr>
          <w:rFonts w:hint="eastAsia" w:ascii="Times New Roman" w:hAnsi="Times New Roman" w:cs="Times New Roman"/>
          <w:sz w:val="24"/>
          <w:szCs w:val="24"/>
          <w:lang w:val="en-US" w:eastAsia="zh-CN"/>
        </w:rPr>
        <w:t>4</w:t>
      </w:r>
      <w:r>
        <w:rPr>
          <w:rFonts w:hint="eastAsia" w:cs="Times New Roman"/>
          <w:sz w:val="24"/>
          <w:szCs w:val="24"/>
          <w:lang w:val="en-US" w:eastAsia="zh-CN"/>
        </w:rPr>
        <w:t>.</w:t>
      </w:r>
      <w:r>
        <w:rPr>
          <w:rFonts w:hint="default" w:ascii="Times New Roman" w:hAnsi="Times New Roman" w:cs="Times New Roman"/>
          <w:sz w:val="24"/>
          <w:szCs w:val="24"/>
        </w:rPr>
        <w:t>2022年12月30日，公司召开第九届董事会第三十三次会议和第九届监事会第二十四次会议，分别审议通过了《关于调整股票期权激励计划首次授予激励对象名单和授予数量的议案》《关于向公司股票期权激励计划激励对象首次授予股票期权的议案》，同意确定2022年12月30日为授予日，向符合条件的261名激励对象授予2,648万份股票期权，行权价格为7.33元/股。监事会对授予激励对象名单进行核实并发表了核查意见。</w:t>
      </w:r>
    </w:p>
    <w:p w14:paraId="45B63B87">
      <w:pPr>
        <w:adjustRightInd w:val="0"/>
        <w:snapToGrid w:val="0"/>
        <w:spacing w:before="50" w:after="50" w:line="360" w:lineRule="auto"/>
        <w:ind w:firstLine="480" w:firstLineChars="200"/>
        <w:rPr>
          <w:rFonts w:hint="default" w:ascii="Times New Roman" w:hAnsi="Times New Roman" w:cs="Times New Roman"/>
          <w:sz w:val="24"/>
          <w:szCs w:val="24"/>
        </w:rPr>
      </w:pPr>
      <w:r>
        <w:rPr>
          <w:rFonts w:hint="eastAsia" w:ascii="Times New Roman" w:hAnsi="Times New Roman" w:cs="Times New Roman"/>
          <w:sz w:val="24"/>
          <w:szCs w:val="24"/>
          <w:lang w:val="en-US" w:eastAsia="zh-CN"/>
        </w:rPr>
        <w:t>5</w:t>
      </w:r>
      <w:r>
        <w:rPr>
          <w:rFonts w:hint="eastAsia" w:cs="Times New Roman"/>
          <w:sz w:val="24"/>
          <w:szCs w:val="24"/>
          <w:lang w:val="en-US" w:eastAsia="zh-CN"/>
        </w:rPr>
        <w:t>.</w:t>
      </w:r>
      <w:r>
        <w:rPr>
          <w:rFonts w:hint="default" w:ascii="Times New Roman" w:hAnsi="Times New Roman" w:cs="Times New Roman"/>
          <w:sz w:val="24"/>
          <w:szCs w:val="24"/>
        </w:rPr>
        <w:t>2023年2月22日，公司完成本次授予登记，本次股票期权的授予日为2022年12月30日；本次股票期权的授予数量：2,596万份；授予的激励对象：公司董事、高级管理人员、公司（含子公司）中层管理人员及核心技术（业务）骨干，共计257人；本次授予的股票期权的行权价格：7.33元/份。</w:t>
      </w:r>
    </w:p>
    <w:p w14:paraId="3E09882F">
      <w:pPr>
        <w:adjustRightInd w:val="0"/>
        <w:snapToGrid w:val="0"/>
        <w:spacing w:before="50" w:after="50" w:line="360" w:lineRule="auto"/>
        <w:ind w:firstLine="480" w:firstLineChars="200"/>
        <w:rPr>
          <w:rFonts w:hint="default" w:ascii="Times New Roman" w:hAnsi="Times New Roman" w:cs="Times New Roman"/>
          <w:sz w:val="24"/>
          <w:szCs w:val="24"/>
        </w:rPr>
      </w:pPr>
      <w:r>
        <w:rPr>
          <w:rFonts w:hint="eastAsia" w:ascii="Times New Roman" w:hAnsi="Times New Roman" w:cs="Times New Roman"/>
          <w:sz w:val="24"/>
          <w:szCs w:val="24"/>
          <w:lang w:val="en-US" w:eastAsia="zh-CN"/>
        </w:rPr>
        <w:t>6</w:t>
      </w:r>
      <w:r>
        <w:rPr>
          <w:rFonts w:hint="eastAsia" w:cs="Times New Roman"/>
          <w:sz w:val="24"/>
          <w:szCs w:val="24"/>
          <w:lang w:val="en-US" w:eastAsia="zh-CN"/>
        </w:rPr>
        <w:t>.</w:t>
      </w:r>
      <w:r>
        <w:rPr>
          <w:rFonts w:hint="default" w:ascii="Times New Roman" w:hAnsi="Times New Roman" w:cs="Times New Roman"/>
          <w:sz w:val="24"/>
          <w:szCs w:val="24"/>
        </w:rPr>
        <w:t>2023年4月25日，公司召开第十届董事会第四次会议和第十届监事会第二次会议，分别审议通过了《关于公司股票期权激励计划预留股票期权授予的议案》，同意确定2023年4月25日为授予日，向符合条件的4名激励对象授予91万份股票期权，行权价格为8.11元/股。本次股票期权激励计划首期实施方案预留股票期权合计为95万份，本次授予预留股票期权91万份，剩余4万份预留股票期权未来将不再授予，尚未授予的所有权益失效。监事会对授予激励对象名单进行核实并发表了核查意见。</w:t>
      </w:r>
    </w:p>
    <w:p w14:paraId="70CFC553">
      <w:pPr>
        <w:adjustRightInd w:val="0"/>
        <w:snapToGrid w:val="0"/>
        <w:spacing w:before="50" w:after="50" w:line="360" w:lineRule="auto"/>
        <w:ind w:firstLine="480" w:firstLineChars="200"/>
        <w:rPr>
          <w:rFonts w:hint="default" w:ascii="Times New Roman" w:hAnsi="Times New Roman" w:cs="Times New Roman"/>
          <w:sz w:val="24"/>
          <w:szCs w:val="24"/>
        </w:rPr>
      </w:pPr>
      <w:r>
        <w:rPr>
          <w:rFonts w:hint="eastAsia" w:ascii="Times New Roman" w:hAnsi="Times New Roman" w:cs="Times New Roman"/>
          <w:sz w:val="24"/>
          <w:szCs w:val="24"/>
          <w:lang w:val="en-US" w:eastAsia="zh-CN"/>
        </w:rPr>
        <w:t>7</w:t>
      </w:r>
      <w:r>
        <w:rPr>
          <w:rFonts w:hint="eastAsia" w:cs="Times New Roman"/>
          <w:sz w:val="24"/>
          <w:szCs w:val="24"/>
          <w:lang w:val="en-US" w:eastAsia="zh-CN"/>
        </w:rPr>
        <w:t>.</w:t>
      </w:r>
      <w:r>
        <w:rPr>
          <w:rFonts w:hint="default" w:ascii="Times New Roman" w:hAnsi="Times New Roman" w:cs="Times New Roman"/>
          <w:sz w:val="24"/>
          <w:szCs w:val="24"/>
        </w:rPr>
        <w:t>2023年5月19日，公司完成2022年股票期权激励计划首期实施方案预留股票期权的授予登记工作，股票期权的授予日为2023年4月25日；股票期权的授予数量：91万份；授予的激励对象：公司高级管理人员、子公司管理人员，共计4人；授予的股票期权的行权价格：8.11元/份。</w:t>
      </w:r>
    </w:p>
    <w:p w14:paraId="0B16D48D">
      <w:pPr>
        <w:adjustRightInd w:val="0"/>
        <w:snapToGrid w:val="0"/>
        <w:spacing w:before="50" w:after="50" w:line="360" w:lineRule="auto"/>
        <w:ind w:firstLine="480" w:firstLineChars="200"/>
        <w:rPr>
          <w:rFonts w:hint="eastAsia" w:ascii="Times New Roman" w:hAnsi="Times New Roman" w:eastAsia="宋体" w:cs="Times New Roman"/>
          <w:sz w:val="24"/>
          <w:szCs w:val="24"/>
          <w:lang w:val="en-US" w:eastAsia="zh-CN"/>
        </w:rPr>
      </w:pPr>
      <w:r>
        <w:rPr>
          <w:rFonts w:hint="eastAsia" w:cs="Times New Roman"/>
          <w:sz w:val="24"/>
          <w:szCs w:val="24"/>
          <w:lang w:val="en-US" w:eastAsia="zh-CN"/>
        </w:rPr>
        <w:t>8.2024年4月25日，公司召开的第十届董事会第十五次会议及第十届监事会第九次会议审议通过了《关于注销离职人员股票期权的议案》，根据股东大会授权，董事会同意注销胡冬明等25名离职人员已获授但尚未行权的股票期权共计291万份。2024年5月9日，上述股票期权已注销完成。</w:t>
      </w:r>
    </w:p>
    <w:p w14:paraId="36690581">
      <w:pPr>
        <w:adjustRightInd w:val="0"/>
        <w:snapToGrid w:val="0"/>
        <w:spacing w:before="50" w:after="50" w:line="360" w:lineRule="auto"/>
        <w:ind w:firstLine="482" w:firstLineChars="200"/>
        <w:rPr>
          <w:rFonts w:hint="default" w:ascii="Times New Roman" w:hAnsi="Times New Roman" w:eastAsia="宋体" w:cs="Times New Roman"/>
          <w:b/>
          <w:bCs/>
          <w:sz w:val="24"/>
          <w:szCs w:val="24"/>
          <w:lang w:val="en-US" w:eastAsia="zh-CN"/>
        </w:rPr>
      </w:pPr>
      <w:r>
        <w:rPr>
          <w:rFonts w:hint="eastAsia" w:ascii="Times New Roman" w:hAnsi="Times New Roman" w:cs="Times New Roman"/>
          <w:b/>
          <w:bCs/>
          <w:sz w:val="24"/>
          <w:szCs w:val="24"/>
          <w:lang w:val="en-US" w:eastAsia="zh-CN"/>
        </w:rPr>
        <w:t>二、本次注销股票期权情况</w:t>
      </w:r>
    </w:p>
    <w:p w14:paraId="1242D371">
      <w:pPr>
        <w:adjustRightInd w:val="0"/>
        <w:snapToGrid w:val="0"/>
        <w:spacing w:before="50" w:after="50" w:line="360" w:lineRule="auto"/>
        <w:ind w:firstLine="480" w:firstLineChars="200"/>
        <w:rPr>
          <w:rFonts w:hint="eastAsia" w:ascii="Times New Roman" w:hAnsi="Times New Roman" w:cs="Times New Roman"/>
          <w:sz w:val="24"/>
          <w:szCs w:val="24"/>
          <w:lang w:val="en-US" w:eastAsia="zh-CN"/>
        </w:rPr>
      </w:pPr>
      <w:r>
        <w:rPr>
          <w:rFonts w:hint="eastAsia" w:cs="Times New Roman"/>
          <w:sz w:val="24"/>
          <w:szCs w:val="24"/>
          <w:lang w:val="en-US" w:eastAsia="zh-CN"/>
        </w:rPr>
        <w:t>1.因激励对象离职不符合激励条件注销</w:t>
      </w:r>
    </w:p>
    <w:p w14:paraId="3B4279A1">
      <w:pPr>
        <w:adjustRightInd w:val="0"/>
        <w:snapToGrid w:val="0"/>
        <w:spacing w:before="50" w:after="50" w:line="36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公司《股票期权激励计划管理办法》第二十九条规定，激励对象因辞职、被解雇或公司裁员而离职，激励对象根据本计划已获授但尚未行权的股票期权由公司注销。</w:t>
      </w:r>
    </w:p>
    <w:p w14:paraId="56ADB11C">
      <w:pPr>
        <w:adjustRightInd w:val="0"/>
        <w:snapToGrid w:val="0"/>
        <w:spacing w:before="50" w:after="50" w:line="360" w:lineRule="auto"/>
        <w:ind w:firstLine="480" w:firstLineChars="200"/>
        <w:rPr>
          <w:rFonts w:hint="eastAsia" w:cs="Times New Roman"/>
          <w:sz w:val="24"/>
          <w:szCs w:val="24"/>
          <w:lang w:val="en-US" w:eastAsia="zh-CN"/>
        </w:rPr>
      </w:pPr>
      <w:r>
        <w:rPr>
          <w:rFonts w:hint="eastAsia" w:ascii="Times New Roman" w:hAnsi="Times New Roman" w:cs="Times New Roman"/>
          <w:sz w:val="24"/>
          <w:szCs w:val="24"/>
          <w:lang w:val="en-US" w:eastAsia="zh-CN"/>
        </w:rPr>
        <w:t>根据上述规定，目前有</w:t>
      </w:r>
      <w:r>
        <w:rPr>
          <w:rFonts w:hint="eastAsia" w:cs="Times New Roman"/>
          <w:sz w:val="24"/>
          <w:szCs w:val="24"/>
          <w:lang w:val="en-US" w:eastAsia="zh-CN"/>
        </w:rPr>
        <w:t>6</w:t>
      </w:r>
      <w:r>
        <w:rPr>
          <w:rFonts w:hint="eastAsia" w:ascii="Times New Roman" w:hAnsi="Times New Roman" w:cs="Times New Roman"/>
          <w:sz w:val="24"/>
          <w:szCs w:val="24"/>
          <w:lang w:val="en-US" w:eastAsia="zh-CN"/>
        </w:rPr>
        <w:t>名激励对象离职，已不再符合激励对象资格，其已获授但尚未行权的合计</w:t>
      </w:r>
      <w:r>
        <w:rPr>
          <w:rFonts w:hint="eastAsia" w:cs="Times New Roman"/>
          <w:sz w:val="24"/>
          <w:szCs w:val="24"/>
          <w:lang w:val="en-US" w:eastAsia="zh-CN"/>
        </w:rPr>
        <w:t>87</w:t>
      </w:r>
      <w:r>
        <w:rPr>
          <w:rFonts w:hint="eastAsia" w:ascii="Times New Roman" w:hAnsi="Times New Roman" w:cs="Times New Roman"/>
          <w:sz w:val="24"/>
          <w:szCs w:val="24"/>
          <w:lang w:val="en-US" w:eastAsia="zh-CN"/>
        </w:rPr>
        <w:t>万份股票期权不得行权，由公司统一注销</w:t>
      </w:r>
      <w:r>
        <w:rPr>
          <w:rFonts w:hint="eastAsia" w:cs="Times New Roman"/>
          <w:sz w:val="24"/>
          <w:szCs w:val="24"/>
          <w:lang w:val="en-US" w:eastAsia="zh-CN"/>
        </w:rPr>
        <w:t>。</w:t>
      </w:r>
    </w:p>
    <w:p w14:paraId="370ED976">
      <w:pPr>
        <w:adjustRightInd w:val="0"/>
        <w:snapToGrid w:val="0"/>
        <w:spacing w:before="50" w:after="50" w:line="360" w:lineRule="auto"/>
        <w:ind w:firstLine="480" w:firstLineChars="200"/>
        <w:rPr>
          <w:rFonts w:hint="eastAsia" w:cs="Times New Roman"/>
          <w:sz w:val="24"/>
          <w:szCs w:val="24"/>
          <w:lang w:val="en-US" w:eastAsia="zh-CN"/>
        </w:rPr>
      </w:pPr>
      <w:r>
        <w:rPr>
          <w:rFonts w:hint="eastAsia" w:cs="Times New Roman"/>
          <w:sz w:val="24"/>
          <w:szCs w:val="24"/>
          <w:lang w:val="en-US" w:eastAsia="zh-CN"/>
        </w:rPr>
        <w:t>2.因公司层面业绩考核目标未成就注销</w:t>
      </w:r>
    </w:p>
    <w:p w14:paraId="257E38B4">
      <w:pPr>
        <w:numPr>
          <w:ilvl w:val="0"/>
          <w:numId w:val="0"/>
        </w:numPr>
        <w:adjustRightInd w:val="0"/>
        <w:snapToGrid w:val="0"/>
        <w:spacing w:before="50" w:after="50" w:line="360" w:lineRule="auto"/>
        <w:ind w:firstLine="480" w:firstLineChars="200"/>
        <w:rPr>
          <w:rFonts w:hint="default" w:cs="Times New Roman"/>
          <w:sz w:val="24"/>
          <w:szCs w:val="24"/>
          <w:lang w:val="en-US" w:eastAsia="zh-CN"/>
        </w:rPr>
      </w:pPr>
      <w:r>
        <w:rPr>
          <w:rFonts w:hint="default" w:cs="Times New Roman"/>
          <w:sz w:val="24"/>
          <w:szCs w:val="24"/>
          <w:lang w:val="en-US" w:eastAsia="zh-CN"/>
        </w:rPr>
        <w:t>根据公司</w:t>
      </w:r>
      <w:r>
        <w:rPr>
          <w:rFonts w:hint="eastAsia" w:cs="Times New Roman"/>
          <w:sz w:val="24"/>
          <w:szCs w:val="24"/>
          <w:lang w:val="en-US" w:eastAsia="zh-CN"/>
        </w:rPr>
        <w:t>《</w:t>
      </w:r>
      <w:r>
        <w:rPr>
          <w:rFonts w:hint="default" w:cs="Times New Roman"/>
          <w:sz w:val="24"/>
          <w:szCs w:val="24"/>
          <w:lang w:val="en-US" w:eastAsia="zh-CN"/>
        </w:rPr>
        <w:t>股票期权激励计划首期实施方案（草案）</w:t>
      </w:r>
      <w:r>
        <w:rPr>
          <w:rFonts w:hint="eastAsia" w:cs="Times New Roman"/>
          <w:sz w:val="24"/>
          <w:szCs w:val="24"/>
          <w:lang w:val="en-US" w:eastAsia="zh-CN"/>
        </w:rPr>
        <w:t>》</w:t>
      </w:r>
      <w:r>
        <w:rPr>
          <w:rFonts w:hint="default" w:cs="Times New Roman"/>
          <w:sz w:val="24"/>
          <w:szCs w:val="24"/>
          <w:lang w:val="en-US" w:eastAsia="zh-CN"/>
        </w:rPr>
        <w:t>业绩考核目标</w:t>
      </w:r>
      <w:r>
        <w:rPr>
          <w:rFonts w:hint="eastAsia" w:cs="Times New Roman"/>
          <w:sz w:val="24"/>
          <w:szCs w:val="24"/>
          <w:lang w:val="en-US" w:eastAsia="zh-CN"/>
        </w:rPr>
        <w:t>的相关</w:t>
      </w:r>
      <w:r>
        <w:rPr>
          <w:rFonts w:hint="default" w:cs="Times New Roman"/>
          <w:sz w:val="24"/>
          <w:szCs w:val="24"/>
          <w:lang w:val="en-US" w:eastAsia="zh-CN"/>
        </w:rPr>
        <w:t>规定，2023年度公司层面未完成业绩考核</w:t>
      </w:r>
      <w:r>
        <w:rPr>
          <w:rFonts w:hint="eastAsia" w:cs="Times New Roman"/>
          <w:sz w:val="24"/>
          <w:szCs w:val="24"/>
          <w:lang w:val="en-US" w:eastAsia="zh-CN"/>
        </w:rPr>
        <w:t>目标</w:t>
      </w:r>
      <w:r>
        <w:rPr>
          <w:rFonts w:hint="default" w:cs="Times New Roman"/>
          <w:sz w:val="24"/>
          <w:szCs w:val="24"/>
          <w:lang w:val="en-US" w:eastAsia="zh-CN"/>
        </w:rPr>
        <w:t>。所有首批授予及预留授予的激励对象所持有的第一个行权期已获授的股票期权均不得行权，</w:t>
      </w:r>
      <w:r>
        <w:rPr>
          <w:rFonts w:hint="eastAsia" w:cs="Times New Roman"/>
          <w:sz w:val="24"/>
          <w:szCs w:val="24"/>
          <w:lang w:val="en-US" w:eastAsia="zh-CN"/>
        </w:rPr>
        <w:t>共</w:t>
      </w:r>
      <w:r>
        <w:rPr>
          <w:rFonts w:hint="default" w:cs="Times New Roman"/>
          <w:sz w:val="24"/>
          <w:szCs w:val="24"/>
          <w:lang w:val="en-US" w:eastAsia="zh-CN"/>
        </w:rPr>
        <w:t>230</w:t>
      </w:r>
      <w:r>
        <w:rPr>
          <w:rFonts w:hint="eastAsia" w:cs="Times New Roman"/>
          <w:sz w:val="24"/>
          <w:szCs w:val="24"/>
          <w:lang w:val="en-US" w:eastAsia="zh-CN"/>
        </w:rPr>
        <w:t>名</w:t>
      </w:r>
      <w:r>
        <w:rPr>
          <w:rFonts w:hint="default" w:cs="Times New Roman"/>
          <w:sz w:val="24"/>
          <w:szCs w:val="24"/>
          <w:lang w:val="en-US" w:eastAsia="zh-CN"/>
        </w:rPr>
        <w:t>激励对象</w:t>
      </w:r>
      <w:r>
        <w:rPr>
          <w:rFonts w:hint="eastAsia" w:cs="Times New Roman"/>
          <w:sz w:val="24"/>
          <w:szCs w:val="24"/>
          <w:lang w:val="en-US" w:eastAsia="zh-CN"/>
        </w:rPr>
        <w:t>合计</w:t>
      </w:r>
      <w:r>
        <w:rPr>
          <w:rFonts w:hint="default" w:cs="Times New Roman"/>
          <w:sz w:val="24"/>
          <w:szCs w:val="24"/>
          <w:lang w:val="en-US" w:eastAsia="zh-CN"/>
        </w:rPr>
        <w:t>股票期权769.6614万份，由公司统一注销</w:t>
      </w:r>
      <w:r>
        <w:rPr>
          <w:rFonts w:hint="eastAsia" w:cs="Times New Roman"/>
          <w:sz w:val="24"/>
          <w:szCs w:val="24"/>
          <w:lang w:val="en-US" w:eastAsia="zh-CN"/>
        </w:rPr>
        <w:t>。</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4532"/>
        <w:gridCol w:w="2390"/>
        <w:gridCol w:w="685"/>
      </w:tblGrid>
      <w:tr w14:paraId="353DD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pct"/>
            <w:shd w:val="clear" w:color="auto" w:fill="D7D7D7" w:themeFill="background1" w:themeFillShade="D8"/>
            <w:vAlign w:val="center"/>
          </w:tcPr>
          <w:p w14:paraId="284C75C2">
            <w:pPr>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行权期</w:t>
            </w:r>
          </w:p>
        </w:tc>
        <w:tc>
          <w:tcPr>
            <w:tcW w:w="2659" w:type="pct"/>
            <w:shd w:val="clear" w:color="auto" w:fill="D7D7D7" w:themeFill="background1" w:themeFillShade="D8"/>
            <w:vAlign w:val="center"/>
          </w:tcPr>
          <w:p w14:paraId="6CA5D5E2">
            <w:pPr>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业绩考核目标</w:t>
            </w:r>
          </w:p>
        </w:tc>
        <w:tc>
          <w:tcPr>
            <w:tcW w:w="1402" w:type="pct"/>
            <w:shd w:val="clear" w:color="auto" w:fill="D7D7D7" w:themeFill="background1" w:themeFillShade="D8"/>
            <w:vAlign w:val="center"/>
          </w:tcPr>
          <w:p w14:paraId="1770F748">
            <w:pPr>
              <w:jc w:val="center"/>
              <w:rPr>
                <w:rFonts w:hint="default" w:ascii="Times New Roman" w:hAnsi="Times New Roman" w:cs="Times New Roman" w:eastAsiaTheme="minorEastAsia"/>
                <w:b/>
                <w:szCs w:val="21"/>
                <w:lang w:val="en-US" w:eastAsia="zh-CN"/>
              </w:rPr>
            </w:pPr>
            <w:r>
              <w:rPr>
                <w:rFonts w:hint="eastAsia" w:ascii="Times New Roman" w:hAnsi="Times New Roman" w:cs="Times New Roman" w:eastAsiaTheme="minorEastAsia"/>
                <w:b/>
                <w:szCs w:val="21"/>
                <w:lang w:val="en-US" w:eastAsia="zh-CN"/>
              </w:rPr>
              <w:t>实现情况</w:t>
            </w:r>
          </w:p>
        </w:tc>
        <w:tc>
          <w:tcPr>
            <w:tcW w:w="402" w:type="pct"/>
            <w:shd w:val="clear" w:color="auto" w:fill="D7D7D7" w:themeFill="background1" w:themeFillShade="D8"/>
            <w:vAlign w:val="center"/>
          </w:tcPr>
          <w:p w14:paraId="2001A81B">
            <w:pPr>
              <w:jc w:val="center"/>
              <w:rPr>
                <w:rFonts w:hint="default" w:ascii="Times New Roman" w:hAnsi="Times New Roman" w:cs="Times New Roman" w:eastAsiaTheme="minorEastAsia"/>
                <w:b/>
                <w:szCs w:val="21"/>
                <w:lang w:val="en-US" w:eastAsia="zh-CN"/>
              </w:rPr>
            </w:pPr>
            <w:r>
              <w:rPr>
                <w:rFonts w:hint="eastAsia" w:ascii="Times New Roman" w:hAnsi="Times New Roman" w:cs="Times New Roman" w:eastAsiaTheme="minorEastAsia"/>
                <w:b/>
                <w:szCs w:val="21"/>
                <w:lang w:val="en-US" w:eastAsia="zh-CN"/>
              </w:rPr>
              <w:t>是否实现</w:t>
            </w:r>
          </w:p>
        </w:tc>
      </w:tr>
      <w:tr w14:paraId="4518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35" w:type="pct"/>
            <w:vMerge w:val="restart"/>
            <w:shd w:val="clear" w:color="auto" w:fill="auto"/>
            <w:vAlign w:val="center"/>
          </w:tcPr>
          <w:p w14:paraId="3659C5CB">
            <w:pPr>
              <w:jc w:val="both"/>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首批授予</w:t>
            </w:r>
            <w:r>
              <w:rPr>
                <w:rFonts w:hint="eastAsia" w:cs="Times New Roman" w:eastAsiaTheme="minorEastAsia"/>
                <w:szCs w:val="21"/>
                <w:lang w:val="en-US" w:eastAsia="zh-CN"/>
              </w:rPr>
              <w:t>及预留授予</w:t>
            </w:r>
            <w:r>
              <w:rPr>
                <w:rFonts w:hint="default" w:ascii="Times New Roman" w:hAnsi="Times New Roman" w:cs="Times New Roman" w:eastAsiaTheme="minorEastAsia"/>
                <w:szCs w:val="21"/>
              </w:rPr>
              <w:t>的股票期权第一个行权期</w:t>
            </w:r>
          </w:p>
        </w:tc>
        <w:tc>
          <w:tcPr>
            <w:tcW w:w="2659" w:type="pct"/>
            <w:shd w:val="clear" w:color="auto" w:fill="auto"/>
            <w:vAlign w:val="center"/>
          </w:tcPr>
          <w:p w14:paraId="3C8DA5E1">
            <w:pPr>
              <w:pStyle w:val="10"/>
              <w:spacing w:before="0" w:beforeAutospacing="0" w:after="0" w:afterAutospacing="0"/>
              <w:jc w:val="both"/>
              <w:rPr>
                <w:rFonts w:hint="default" w:ascii="Times New Roman" w:hAnsi="Times New Roman" w:cs="Times New Roman"/>
                <w:szCs w:val="21"/>
              </w:rPr>
            </w:pPr>
            <w:r>
              <w:rPr>
                <w:rFonts w:hint="default" w:ascii="Times New Roman" w:hAnsi="Times New Roman" w:cs="Times New Roman"/>
                <w:bCs/>
                <w:kern w:val="2"/>
                <w:sz w:val="21"/>
                <w:szCs w:val="21"/>
              </w:rPr>
              <w:t>（1）以2021年为基期（即对应</w:t>
            </w:r>
            <w:r>
              <w:rPr>
                <w:rFonts w:hint="default" w:ascii="Times New Roman" w:hAnsi="Times New Roman" w:cs="Times New Roman"/>
                <w:sz w:val="20"/>
                <w:szCs w:val="20"/>
              </w:rPr>
              <w:t>17,672万元</w:t>
            </w:r>
            <w:r>
              <w:rPr>
                <w:rFonts w:hint="default" w:ascii="Times New Roman" w:hAnsi="Times New Roman" w:cs="Times New Roman"/>
                <w:bCs/>
                <w:kern w:val="2"/>
                <w:sz w:val="21"/>
                <w:szCs w:val="21"/>
              </w:rPr>
              <w:t>），2023年净利润复合增长率不低于【15.0%】，且不低于2023年对标企业75分位值或行业平均值</w:t>
            </w:r>
          </w:p>
        </w:tc>
        <w:tc>
          <w:tcPr>
            <w:tcW w:w="1402" w:type="pct"/>
            <w:shd w:val="clear" w:color="auto" w:fill="auto"/>
            <w:vAlign w:val="center"/>
          </w:tcPr>
          <w:p w14:paraId="1F0ABCF8">
            <w:pPr>
              <w:widowControl/>
              <w:jc w:val="both"/>
              <w:rPr>
                <w:rFonts w:hint="default" w:ascii="Times New Roman" w:hAnsi="Times New Roman" w:eastAsia="宋体" w:cs="Times New Roman"/>
                <w:szCs w:val="21"/>
                <w:lang w:val="en-US" w:eastAsia="zh-CN"/>
              </w:rPr>
            </w:pPr>
            <w:r>
              <w:rPr>
                <w:rFonts w:hint="default" w:ascii="Times New Roman" w:hAnsi="Times New Roman" w:cs="Times New Roman"/>
                <w:bCs/>
                <w:kern w:val="2"/>
                <w:sz w:val="21"/>
                <w:szCs w:val="21"/>
              </w:rPr>
              <w:t>（1）</w:t>
            </w:r>
            <w:r>
              <w:rPr>
                <w:rFonts w:hint="eastAsia" w:ascii="Times New Roman" w:hAnsi="Times New Roman" w:cs="Times New Roman"/>
                <w:szCs w:val="21"/>
                <w:lang w:val="en-US" w:eastAsia="zh-CN"/>
              </w:rPr>
              <w:t>2023年归属于上市公司股东的净利润为-73,716.40万元</w:t>
            </w:r>
          </w:p>
        </w:tc>
        <w:tc>
          <w:tcPr>
            <w:tcW w:w="402" w:type="pct"/>
            <w:shd w:val="clear" w:color="auto" w:fill="auto"/>
            <w:vAlign w:val="center"/>
          </w:tcPr>
          <w:p w14:paraId="0AC52031">
            <w:pPr>
              <w:widowControl/>
              <w:jc w:val="left"/>
              <w:rPr>
                <w:rFonts w:hint="eastAsia" w:ascii="Times New Roman" w:hAnsi="Times New Roman" w:eastAsia="宋体" w:cs="Times New Roman"/>
                <w:bCs/>
                <w:kern w:val="2"/>
                <w:sz w:val="21"/>
                <w:szCs w:val="21"/>
                <w:lang w:val="en-US" w:eastAsia="zh-CN"/>
              </w:rPr>
            </w:pPr>
            <w:r>
              <w:rPr>
                <w:rFonts w:hint="eastAsia" w:cs="Times New Roman"/>
                <w:bCs/>
                <w:kern w:val="2"/>
                <w:sz w:val="21"/>
                <w:szCs w:val="21"/>
                <w:lang w:val="en-US" w:eastAsia="zh-CN"/>
              </w:rPr>
              <w:t>否</w:t>
            </w:r>
          </w:p>
        </w:tc>
      </w:tr>
      <w:tr w14:paraId="5190D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535" w:type="pct"/>
            <w:vMerge w:val="continue"/>
            <w:shd w:val="clear" w:color="auto" w:fill="auto"/>
            <w:vAlign w:val="center"/>
          </w:tcPr>
          <w:p w14:paraId="7CBCD377">
            <w:pPr>
              <w:jc w:val="center"/>
              <w:rPr>
                <w:rFonts w:hint="default" w:ascii="Times New Roman" w:hAnsi="Times New Roman" w:cs="Times New Roman" w:eastAsiaTheme="minorEastAsia"/>
                <w:szCs w:val="21"/>
              </w:rPr>
            </w:pPr>
          </w:p>
        </w:tc>
        <w:tc>
          <w:tcPr>
            <w:tcW w:w="2659" w:type="pct"/>
            <w:shd w:val="clear" w:color="auto" w:fill="auto"/>
            <w:vAlign w:val="center"/>
          </w:tcPr>
          <w:p w14:paraId="0A236A52">
            <w:pPr>
              <w:pStyle w:val="10"/>
              <w:spacing w:before="0" w:beforeAutospacing="0" w:after="0" w:afterAutospacing="0"/>
              <w:jc w:val="both"/>
              <w:rPr>
                <w:rFonts w:hint="default" w:ascii="Times New Roman" w:hAnsi="Times New Roman" w:cs="Times New Roman"/>
                <w:szCs w:val="21"/>
              </w:rPr>
            </w:pPr>
            <w:r>
              <w:rPr>
                <w:rFonts w:hint="default" w:ascii="Times New Roman" w:hAnsi="Times New Roman" w:cs="Times New Roman"/>
                <w:bCs/>
                <w:kern w:val="2"/>
                <w:sz w:val="21"/>
                <w:szCs w:val="21"/>
              </w:rPr>
              <w:t>（2）2023年净资产收益率不低于【6.0%】，且不低于2023年对标企业75分位值或行业平均值</w:t>
            </w:r>
          </w:p>
        </w:tc>
        <w:tc>
          <w:tcPr>
            <w:tcW w:w="1402" w:type="pct"/>
            <w:shd w:val="clear" w:color="auto" w:fill="auto"/>
            <w:vAlign w:val="center"/>
          </w:tcPr>
          <w:p w14:paraId="0D18A48C">
            <w:pPr>
              <w:widowControl/>
              <w:jc w:val="both"/>
              <w:rPr>
                <w:rFonts w:hint="default" w:ascii="Times New Roman" w:hAnsi="Times New Roman" w:cs="Times New Roman"/>
                <w:szCs w:val="21"/>
                <w:lang w:val="en-US"/>
              </w:rPr>
            </w:pPr>
            <w:r>
              <w:rPr>
                <w:rFonts w:hint="default" w:ascii="Times New Roman" w:hAnsi="Times New Roman" w:cs="Times New Roman"/>
                <w:bCs/>
                <w:kern w:val="2"/>
                <w:sz w:val="21"/>
                <w:szCs w:val="21"/>
              </w:rPr>
              <w:t>（2）</w:t>
            </w:r>
            <w:r>
              <w:rPr>
                <w:rFonts w:hint="eastAsia" w:ascii="Times New Roman" w:hAnsi="Times New Roman" w:cs="Times New Roman"/>
                <w:szCs w:val="21"/>
                <w:lang w:val="en-US" w:eastAsia="zh-CN"/>
              </w:rPr>
              <w:t>2023年加权平均净资产收益率-12.3827</w:t>
            </w:r>
            <w:r>
              <w:rPr>
                <w:rFonts w:hint="eastAsia" w:cs="Times New Roman"/>
                <w:szCs w:val="21"/>
                <w:lang w:val="en-US" w:eastAsia="zh-CN"/>
              </w:rPr>
              <w:t>%</w:t>
            </w:r>
          </w:p>
        </w:tc>
        <w:tc>
          <w:tcPr>
            <w:tcW w:w="402" w:type="pct"/>
            <w:shd w:val="clear" w:color="auto" w:fill="auto"/>
            <w:vAlign w:val="center"/>
          </w:tcPr>
          <w:p w14:paraId="7583BD7A">
            <w:pPr>
              <w:widowControl/>
              <w:jc w:val="left"/>
              <w:rPr>
                <w:rFonts w:hint="default" w:ascii="Times New Roman" w:hAnsi="Times New Roman" w:cs="Times New Roman"/>
                <w:bCs/>
                <w:kern w:val="2"/>
                <w:sz w:val="21"/>
                <w:szCs w:val="21"/>
              </w:rPr>
            </w:pPr>
            <w:r>
              <w:rPr>
                <w:rFonts w:hint="eastAsia" w:cs="Times New Roman"/>
                <w:bCs/>
                <w:kern w:val="2"/>
                <w:sz w:val="21"/>
                <w:szCs w:val="21"/>
                <w:lang w:val="en-US" w:eastAsia="zh-CN"/>
              </w:rPr>
              <w:t>否</w:t>
            </w:r>
          </w:p>
        </w:tc>
      </w:tr>
      <w:tr w14:paraId="70895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35" w:type="pct"/>
            <w:vMerge w:val="continue"/>
            <w:shd w:val="clear" w:color="auto" w:fill="auto"/>
            <w:vAlign w:val="center"/>
          </w:tcPr>
          <w:p w14:paraId="7E1CDCBD">
            <w:pPr>
              <w:jc w:val="center"/>
              <w:rPr>
                <w:rFonts w:hint="default" w:ascii="Times New Roman" w:hAnsi="Times New Roman" w:cs="Times New Roman" w:eastAsiaTheme="minorEastAsia"/>
                <w:szCs w:val="21"/>
              </w:rPr>
            </w:pPr>
          </w:p>
        </w:tc>
        <w:tc>
          <w:tcPr>
            <w:tcW w:w="2659" w:type="pct"/>
            <w:shd w:val="clear" w:color="auto" w:fill="auto"/>
            <w:vAlign w:val="center"/>
          </w:tcPr>
          <w:p w14:paraId="28A540F7">
            <w:pPr>
              <w:widowControl/>
              <w:jc w:val="both"/>
              <w:rPr>
                <w:rFonts w:hint="default" w:ascii="Times New Roman" w:hAnsi="Times New Roman" w:cs="Times New Roman"/>
                <w:szCs w:val="21"/>
              </w:rPr>
            </w:pPr>
            <w:r>
              <w:rPr>
                <w:rFonts w:hint="default" w:ascii="Times New Roman" w:hAnsi="Times New Roman" w:cs="Times New Roman"/>
                <w:bCs/>
                <w:szCs w:val="21"/>
              </w:rPr>
              <w:t>（3）2023年经济增加值（EVA）及经营业绩完成上级单位考核要求，且△EVA大于0</w:t>
            </w:r>
          </w:p>
        </w:tc>
        <w:tc>
          <w:tcPr>
            <w:tcW w:w="1402" w:type="pct"/>
            <w:shd w:val="clear" w:color="auto" w:fill="auto"/>
            <w:vAlign w:val="center"/>
          </w:tcPr>
          <w:p w14:paraId="1B31786A">
            <w:pPr>
              <w:widowControl/>
              <w:jc w:val="both"/>
              <w:rPr>
                <w:rFonts w:hint="default" w:ascii="Times New Roman" w:hAnsi="Times New Roman" w:eastAsia="宋体" w:cs="Times New Roman"/>
                <w:bCs/>
                <w:szCs w:val="21"/>
                <w:lang w:val="en-US" w:eastAsia="zh-CN"/>
              </w:rPr>
            </w:pPr>
            <w:r>
              <w:rPr>
                <w:rFonts w:hint="default" w:ascii="Times New Roman" w:hAnsi="Times New Roman" w:cs="Times New Roman"/>
                <w:bCs/>
                <w:szCs w:val="21"/>
              </w:rPr>
              <w:t>（3）2023年经济增加值EVA</w:t>
            </w:r>
            <w:r>
              <w:rPr>
                <w:rFonts w:hint="eastAsia" w:ascii="Times New Roman" w:hAnsi="Times New Roman" w:cs="Times New Roman"/>
                <w:bCs/>
                <w:szCs w:val="21"/>
                <w:lang w:val="en-US" w:eastAsia="zh-CN"/>
              </w:rPr>
              <w:t xml:space="preserve"> </w:t>
            </w:r>
            <w:r>
              <w:rPr>
                <w:rFonts w:hint="eastAsia" w:cs="Times New Roman"/>
                <w:bCs/>
                <w:szCs w:val="21"/>
                <w:lang w:val="en-US" w:eastAsia="zh-CN"/>
              </w:rPr>
              <w:t>-</w:t>
            </w:r>
            <w:r>
              <w:rPr>
                <w:rFonts w:hint="eastAsia" w:ascii="Times New Roman" w:hAnsi="Times New Roman" w:cs="Times New Roman"/>
                <w:bCs/>
                <w:szCs w:val="21"/>
                <w:lang w:val="en-US" w:eastAsia="zh-CN"/>
              </w:rPr>
              <w:t>94,215.49</w:t>
            </w:r>
            <w:r>
              <w:rPr>
                <w:rFonts w:hint="eastAsia" w:ascii="Times New Roman" w:hAnsi="Times New Roman" w:cs="Times New Roman"/>
                <w:szCs w:val="21"/>
                <w:lang w:val="en-US" w:eastAsia="zh-CN"/>
              </w:rPr>
              <w:t>万元</w:t>
            </w:r>
          </w:p>
        </w:tc>
        <w:tc>
          <w:tcPr>
            <w:tcW w:w="402" w:type="pct"/>
            <w:shd w:val="clear" w:color="auto" w:fill="auto"/>
            <w:vAlign w:val="center"/>
          </w:tcPr>
          <w:p w14:paraId="700A16A1">
            <w:pPr>
              <w:widowControl/>
              <w:jc w:val="left"/>
              <w:rPr>
                <w:rFonts w:hint="default" w:ascii="Times New Roman" w:hAnsi="Times New Roman" w:cs="Times New Roman"/>
                <w:bCs/>
                <w:szCs w:val="21"/>
              </w:rPr>
            </w:pPr>
            <w:r>
              <w:rPr>
                <w:rFonts w:hint="eastAsia" w:cs="Times New Roman"/>
                <w:bCs/>
                <w:kern w:val="2"/>
                <w:sz w:val="21"/>
                <w:szCs w:val="21"/>
                <w:lang w:val="en-US" w:eastAsia="zh-CN"/>
              </w:rPr>
              <w:t>否</w:t>
            </w:r>
          </w:p>
        </w:tc>
      </w:tr>
    </w:tbl>
    <w:p w14:paraId="604BED7B">
      <w:pPr>
        <w:adjustRightInd w:val="0"/>
        <w:snapToGrid w:val="0"/>
        <w:spacing w:before="50" w:after="50" w:line="360" w:lineRule="auto"/>
        <w:ind w:firstLine="480" w:firstLineChars="200"/>
        <w:rPr>
          <w:rFonts w:hint="default" w:ascii="Times New Roman" w:hAnsi="Times New Roman" w:cs="Times New Roman"/>
          <w:b w:val="0"/>
          <w:bCs w:val="0"/>
          <w:sz w:val="24"/>
          <w:szCs w:val="24"/>
          <w:lang w:val="en-US" w:eastAsia="zh-CN"/>
        </w:rPr>
      </w:pPr>
      <w:r>
        <w:rPr>
          <w:rFonts w:hint="eastAsia" w:cs="Times New Roman"/>
          <w:b w:val="0"/>
          <w:bCs w:val="0"/>
          <w:sz w:val="24"/>
          <w:szCs w:val="24"/>
          <w:lang w:val="en-US" w:eastAsia="zh-CN"/>
        </w:rPr>
        <w:t>本次注销在股东会对董事会授权范围内，无需提交股东会审议。</w:t>
      </w:r>
    </w:p>
    <w:p w14:paraId="7780A227">
      <w:pPr>
        <w:adjustRightInd w:val="0"/>
        <w:snapToGrid w:val="0"/>
        <w:spacing w:before="50" w:after="50" w:line="360" w:lineRule="auto"/>
        <w:ind w:firstLine="482" w:firstLineChars="200"/>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三、本次注销对公司的影响</w:t>
      </w:r>
    </w:p>
    <w:p w14:paraId="3E8B174F">
      <w:pPr>
        <w:adjustRightInd w:val="0"/>
        <w:snapToGrid w:val="0"/>
        <w:spacing w:before="50" w:after="50"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本次注销部分股票期权不会对公司财务状况和经营情况产生实质性影响，不会影响公司</w:t>
      </w:r>
      <w:r>
        <w:rPr>
          <w:rFonts w:hint="eastAsia" w:ascii="Times New Roman" w:hAnsi="Times New Roman" w:cs="Times New Roman"/>
          <w:sz w:val="24"/>
          <w:szCs w:val="24"/>
          <w:lang w:val="en-US" w:eastAsia="zh-CN"/>
        </w:rPr>
        <w:t>股票</w:t>
      </w:r>
      <w:r>
        <w:rPr>
          <w:rFonts w:hint="default" w:ascii="Times New Roman" w:hAnsi="Times New Roman" w:cs="Times New Roman"/>
          <w:sz w:val="24"/>
          <w:szCs w:val="24"/>
        </w:rPr>
        <w:t>期权激励计划的继续实施；同时，本次</w:t>
      </w:r>
      <w:r>
        <w:rPr>
          <w:rFonts w:hint="eastAsia" w:ascii="Times New Roman" w:hAnsi="Times New Roman" w:cs="Times New Roman"/>
          <w:sz w:val="24"/>
          <w:szCs w:val="24"/>
          <w:lang w:val="en-US" w:eastAsia="zh-CN"/>
        </w:rPr>
        <w:t>注销</w:t>
      </w:r>
      <w:r>
        <w:rPr>
          <w:rFonts w:hint="default" w:ascii="Times New Roman" w:hAnsi="Times New Roman" w:cs="Times New Roman"/>
          <w:sz w:val="24"/>
          <w:szCs w:val="24"/>
        </w:rPr>
        <w:t xml:space="preserve">不会影响公司员工及管理团队正常履职。本次注销符合法律、行政法规、部门规章、规范性文件、公司章程、本次股权激励计划等的相关规定。 </w:t>
      </w:r>
    </w:p>
    <w:p w14:paraId="6ABA8041">
      <w:pPr>
        <w:adjustRightInd w:val="0"/>
        <w:snapToGrid w:val="0"/>
        <w:spacing w:before="50" w:after="50" w:line="360" w:lineRule="auto"/>
        <w:ind w:firstLine="482" w:firstLineChars="200"/>
        <w:rPr>
          <w:rFonts w:hint="default" w:ascii="Times New Roman" w:hAnsi="Times New Roman" w:eastAsia="宋体" w:cs="Times New Roman"/>
          <w:b/>
          <w:bCs/>
          <w:sz w:val="24"/>
          <w:szCs w:val="24"/>
          <w:lang w:val="en-US" w:eastAsia="zh-CN"/>
        </w:rPr>
      </w:pPr>
      <w:r>
        <w:rPr>
          <w:rFonts w:hint="eastAsia" w:ascii="Times New Roman" w:hAnsi="Times New Roman" w:cs="Times New Roman"/>
          <w:b/>
          <w:bCs/>
          <w:sz w:val="24"/>
          <w:szCs w:val="24"/>
          <w:lang w:val="en-US" w:eastAsia="zh-CN"/>
        </w:rPr>
        <w:t>四、监事会意见</w:t>
      </w:r>
    </w:p>
    <w:p w14:paraId="0C0AB4B8">
      <w:pPr>
        <w:adjustRightInd w:val="0"/>
        <w:snapToGrid w:val="0"/>
        <w:spacing w:before="50" w:after="50" w:line="360" w:lineRule="auto"/>
        <w:ind w:firstLine="480" w:firstLineChars="200"/>
        <w:rPr>
          <w:rFonts w:hint="default" w:ascii="Times New Roman" w:hAnsi="Times New Roman" w:cs="Times New Roman"/>
          <w:sz w:val="24"/>
          <w:szCs w:val="24"/>
        </w:rPr>
      </w:pPr>
      <w:r>
        <w:rPr>
          <w:rFonts w:hint="eastAsia" w:ascii="Times New Roman" w:hAnsi="Times New Roman" w:cs="Times New Roman"/>
          <w:sz w:val="24"/>
          <w:szCs w:val="24"/>
          <w:lang w:val="en-US" w:eastAsia="zh-CN"/>
        </w:rPr>
        <w:t>监事会经审核后认为，根据《上市公司股权激励管理办法》《</w:t>
      </w:r>
      <w:r>
        <w:rPr>
          <w:rFonts w:hint="eastAsia" w:cs="Times New Roman"/>
          <w:sz w:val="24"/>
          <w:szCs w:val="24"/>
          <w:lang w:val="en-US" w:eastAsia="zh-CN"/>
        </w:rPr>
        <w:t>公司</w:t>
      </w:r>
      <w:r>
        <w:rPr>
          <w:rFonts w:hint="eastAsia" w:ascii="Times New Roman" w:hAnsi="Times New Roman" w:cs="Times New Roman"/>
          <w:sz w:val="24"/>
          <w:szCs w:val="24"/>
          <w:lang w:val="en-US" w:eastAsia="zh-CN"/>
        </w:rPr>
        <w:t>股票期权激励计划首期实施方案（草案）》等有关规定，公司拟相应注销202</w:t>
      </w:r>
      <w:r>
        <w:rPr>
          <w:rFonts w:hint="eastAsia" w:cs="Times New Roman"/>
          <w:sz w:val="24"/>
          <w:szCs w:val="24"/>
          <w:lang w:val="en-US" w:eastAsia="zh-CN"/>
        </w:rPr>
        <w:t>2</w:t>
      </w:r>
      <w:r>
        <w:rPr>
          <w:rFonts w:hint="eastAsia" w:ascii="Times New Roman" w:hAnsi="Times New Roman" w:cs="Times New Roman"/>
          <w:sz w:val="24"/>
          <w:szCs w:val="24"/>
          <w:lang w:val="en-US" w:eastAsia="zh-CN"/>
        </w:rPr>
        <w:t>年股票期权激励计划第一个行权期行权条件未成就以及部分激励对象因个人原因离职不再具备激励资格的股票期权</w:t>
      </w:r>
      <w:r>
        <w:rPr>
          <w:rFonts w:hint="eastAsia" w:eastAsia="宋体" w:cs="Times New Roman"/>
          <w:sz w:val="24"/>
          <w:szCs w:val="24"/>
          <w:highlight w:val="none"/>
          <w:lang w:val="en-US" w:eastAsia="zh-CN"/>
        </w:rPr>
        <w:t>（包括首批授予及预留授予的）</w:t>
      </w:r>
      <w:r>
        <w:rPr>
          <w:rFonts w:hint="eastAsia" w:ascii="Times New Roman" w:hAnsi="Times New Roman" w:cs="Times New Roman"/>
          <w:sz w:val="24"/>
          <w:szCs w:val="24"/>
          <w:lang w:val="en-US" w:eastAsia="zh-CN"/>
        </w:rPr>
        <w:t>。本次股票期权注销事项不会影响本激励计划的继续实施和公司的持续经营，</w:t>
      </w:r>
      <w:r>
        <w:rPr>
          <w:rFonts w:hint="default" w:ascii="Times New Roman" w:hAnsi="Times New Roman" w:cs="Times New Roman"/>
          <w:sz w:val="24"/>
          <w:szCs w:val="24"/>
        </w:rPr>
        <w:t>符合股东会对董事会的授权，不存在损害公司及全体股东利益的情况，监事会一致同意上述注销。</w:t>
      </w:r>
    </w:p>
    <w:p w14:paraId="59062F26">
      <w:pPr>
        <w:adjustRightInd w:val="0"/>
        <w:snapToGrid w:val="0"/>
        <w:spacing w:before="50" w:after="50" w:line="360" w:lineRule="auto"/>
        <w:ind w:firstLine="482" w:firstLineChars="200"/>
        <w:rPr>
          <w:rFonts w:hint="default" w:ascii="Times New Roman" w:hAnsi="Times New Roman" w:eastAsia="宋体"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五、法律意见书</w:t>
      </w:r>
    </w:p>
    <w:p w14:paraId="7DAD483A">
      <w:pPr>
        <w:adjustRightInd w:val="0"/>
        <w:snapToGrid w:val="0"/>
        <w:spacing w:before="50" w:after="50" w:line="360" w:lineRule="auto"/>
        <w:ind w:firstLine="480" w:firstLineChars="200"/>
        <w:rPr>
          <w:rFonts w:hint="eastAsia" w:ascii="Times New Roman" w:hAnsi="Times New Roman" w:eastAsia="宋体" w:cs="Times New Roman"/>
          <w:sz w:val="24"/>
          <w:szCs w:val="24"/>
          <w:highlight w:val="none"/>
          <w:lang w:eastAsia="zh-CN"/>
        </w:rPr>
      </w:pPr>
      <w:r>
        <w:rPr>
          <w:rFonts w:hint="default" w:ascii="Times New Roman" w:hAnsi="Times New Roman" w:cs="Times New Roman"/>
          <w:sz w:val="24"/>
          <w:szCs w:val="24"/>
          <w:highlight w:val="none"/>
        </w:rPr>
        <w:t>北京市金杜（深圳）律师事务所认为，截至本法律意见书出具日，本次注销已取得现阶段必要的批准和授权；</w:t>
      </w:r>
      <w:bookmarkStart w:id="0" w:name="_GoBack"/>
      <w:bookmarkEnd w:id="0"/>
      <w:r>
        <w:rPr>
          <w:rFonts w:hint="default" w:ascii="Times New Roman" w:hAnsi="Times New Roman" w:cs="Times New Roman"/>
          <w:sz w:val="24"/>
          <w:szCs w:val="24"/>
          <w:highlight w:val="none"/>
        </w:rPr>
        <w:t>本次注销符合《上市公司股权激励管理办法》等相关法律法规以及《首期实施方案（草案）》的安排；公司尚需就本次注销依法履行信息披露义务并办理相关股票期权注销手续</w:t>
      </w:r>
      <w:r>
        <w:rPr>
          <w:rFonts w:hint="eastAsia" w:cs="Times New Roman"/>
          <w:sz w:val="24"/>
          <w:szCs w:val="24"/>
          <w:highlight w:val="none"/>
          <w:lang w:eastAsia="zh-CN"/>
        </w:rPr>
        <w:t>。</w:t>
      </w:r>
    </w:p>
    <w:p w14:paraId="67C88907">
      <w:pPr>
        <w:numPr>
          <w:ilvl w:val="0"/>
          <w:numId w:val="0"/>
        </w:numPr>
        <w:snapToGrid w:val="0"/>
        <w:spacing w:line="360" w:lineRule="auto"/>
        <w:ind w:firstLine="482" w:firstLineChars="200"/>
        <w:rPr>
          <w:rFonts w:hint="eastAsia" w:cs="Times New Roman"/>
          <w:b/>
          <w:bCs/>
          <w:sz w:val="24"/>
          <w:szCs w:val="24"/>
          <w:lang w:val="en-US" w:eastAsia="zh-CN"/>
        </w:rPr>
      </w:pPr>
      <w:r>
        <w:rPr>
          <w:rFonts w:hint="eastAsia" w:cs="Times New Roman"/>
          <w:b/>
          <w:bCs/>
          <w:sz w:val="24"/>
          <w:szCs w:val="24"/>
          <w:lang w:val="en-US" w:eastAsia="zh-CN"/>
        </w:rPr>
        <w:t>六、备查文件</w:t>
      </w:r>
    </w:p>
    <w:p w14:paraId="2E4AC4D3">
      <w:pPr>
        <w:numPr>
          <w:ilvl w:val="0"/>
          <w:numId w:val="0"/>
        </w:numPr>
        <w:snapToGrid w:val="0"/>
        <w:spacing w:line="360" w:lineRule="auto"/>
        <w:ind w:firstLine="480" w:firstLineChars="200"/>
        <w:rPr>
          <w:rFonts w:hint="eastAsia" w:cs="Times New Roman"/>
          <w:sz w:val="24"/>
          <w:szCs w:val="24"/>
          <w:lang w:val="en-US" w:eastAsia="zh-CN"/>
        </w:rPr>
      </w:pPr>
      <w:r>
        <w:rPr>
          <w:rFonts w:hint="eastAsia" w:cs="Times New Roman"/>
          <w:sz w:val="24"/>
          <w:szCs w:val="24"/>
          <w:lang w:val="en-US" w:eastAsia="zh-CN"/>
        </w:rPr>
        <w:t>1.第十届董事会第十九次会议决议；</w:t>
      </w:r>
    </w:p>
    <w:p w14:paraId="41A132F1">
      <w:pPr>
        <w:numPr>
          <w:ilvl w:val="0"/>
          <w:numId w:val="0"/>
        </w:numPr>
        <w:snapToGrid w:val="0"/>
        <w:spacing w:line="360" w:lineRule="auto"/>
        <w:ind w:firstLine="480" w:firstLineChars="200"/>
        <w:rPr>
          <w:rFonts w:hint="eastAsia" w:cs="Times New Roman"/>
          <w:sz w:val="24"/>
          <w:szCs w:val="24"/>
          <w:lang w:val="en-US" w:eastAsia="zh-CN"/>
        </w:rPr>
      </w:pPr>
      <w:r>
        <w:rPr>
          <w:rFonts w:hint="eastAsia" w:cs="Times New Roman"/>
          <w:sz w:val="24"/>
          <w:szCs w:val="24"/>
          <w:lang w:val="en-US" w:eastAsia="zh-CN"/>
        </w:rPr>
        <w:t>2.第十届监事会第十次会议决议；</w:t>
      </w:r>
    </w:p>
    <w:p w14:paraId="233A56DF">
      <w:pPr>
        <w:numPr>
          <w:ilvl w:val="0"/>
          <w:numId w:val="0"/>
        </w:numPr>
        <w:snapToGrid w:val="0"/>
        <w:spacing w:line="360" w:lineRule="auto"/>
        <w:ind w:firstLine="480" w:firstLineChars="200"/>
        <w:rPr>
          <w:rFonts w:hint="eastAsia" w:cs="Times New Roman"/>
          <w:sz w:val="24"/>
          <w:szCs w:val="24"/>
          <w:lang w:val="en-US" w:eastAsia="zh-CN"/>
        </w:rPr>
      </w:pPr>
      <w:r>
        <w:rPr>
          <w:rFonts w:hint="eastAsia" w:cs="Times New Roman"/>
          <w:sz w:val="24"/>
          <w:szCs w:val="24"/>
          <w:lang w:val="en-US" w:eastAsia="zh-CN"/>
        </w:rPr>
        <w:t>3.法律意见书。</w:t>
      </w:r>
    </w:p>
    <w:p w14:paraId="2EC2315B">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特此公告。</w:t>
      </w:r>
    </w:p>
    <w:p w14:paraId="35644384">
      <w:pPr>
        <w:numPr>
          <w:ilvl w:val="0"/>
          <w:numId w:val="0"/>
        </w:numPr>
        <w:snapToGrid w:val="0"/>
        <w:spacing w:line="360" w:lineRule="auto"/>
        <w:ind w:firstLine="480" w:firstLineChars="200"/>
        <w:rPr>
          <w:rFonts w:hint="default" w:cs="Times New Roman"/>
          <w:sz w:val="24"/>
          <w:szCs w:val="24"/>
          <w:lang w:val="en-US" w:eastAsia="zh-CN"/>
        </w:rPr>
      </w:pPr>
    </w:p>
    <w:p w14:paraId="27900C03">
      <w:pPr>
        <w:snapToGrid w:val="0"/>
        <w:spacing w:line="360" w:lineRule="auto"/>
        <w:ind w:firstLine="480" w:firstLineChars="200"/>
        <w:rPr>
          <w:rFonts w:hint="default" w:ascii="Times New Roman" w:hAnsi="Times New Roman" w:cs="Times New Roman"/>
          <w:sz w:val="24"/>
          <w:szCs w:val="24"/>
        </w:rPr>
      </w:pPr>
    </w:p>
    <w:p w14:paraId="0DCE5620">
      <w:pPr>
        <w:snapToGrid w:val="0"/>
        <w:spacing w:line="360" w:lineRule="auto"/>
        <w:ind w:firstLine="480" w:firstLineChars="200"/>
        <w:rPr>
          <w:rFonts w:hint="default" w:ascii="Times New Roman" w:hAnsi="Times New Roman" w:cs="Times New Roman"/>
          <w:sz w:val="24"/>
          <w:szCs w:val="24"/>
        </w:rPr>
      </w:pPr>
    </w:p>
    <w:p w14:paraId="7F5A92AB">
      <w:pPr>
        <w:snapToGrid w:val="0"/>
        <w:spacing w:line="360" w:lineRule="auto"/>
        <w:ind w:firstLine="480" w:firstLineChars="200"/>
        <w:rPr>
          <w:rFonts w:hint="default" w:ascii="Times New Roman" w:hAnsi="Times New Roman" w:cs="Times New Roman"/>
          <w:sz w:val="24"/>
          <w:szCs w:val="24"/>
        </w:rPr>
      </w:pPr>
    </w:p>
    <w:p w14:paraId="757D46D4">
      <w:pPr>
        <w:snapToGrid w:val="0"/>
        <w:spacing w:line="360" w:lineRule="auto"/>
        <w:ind w:firstLine="482" w:firstLineChars="200"/>
        <w:jc w:val="right"/>
        <w:rPr>
          <w:rFonts w:hint="default" w:ascii="Times New Roman" w:hAnsi="Times New Roman" w:cs="Times New Roman"/>
          <w:b/>
          <w:sz w:val="24"/>
          <w:szCs w:val="24"/>
        </w:rPr>
      </w:pPr>
      <w:r>
        <w:rPr>
          <w:rFonts w:hint="default" w:ascii="Times New Roman" w:hAnsi="Times New Roman" w:cs="Times New Roman"/>
          <w:b/>
          <w:sz w:val="24"/>
          <w:szCs w:val="24"/>
        </w:rPr>
        <w:t>中广核核技术发展股份有限公司</w:t>
      </w:r>
    </w:p>
    <w:p w14:paraId="02E07956">
      <w:pPr>
        <w:snapToGrid w:val="0"/>
        <w:spacing w:line="360" w:lineRule="auto"/>
        <w:ind w:firstLine="482" w:firstLineChars="200"/>
        <w:jc w:val="right"/>
        <w:rPr>
          <w:rFonts w:hint="default" w:ascii="Times New Roman" w:hAnsi="Times New Roman" w:cs="Times New Roman"/>
          <w:b/>
          <w:sz w:val="24"/>
          <w:szCs w:val="24"/>
        </w:rPr>
      </w:pPr>
      <w:r>
        <w:rPr>
          <w:rFonts w:hint="default" w:ascii="Times New Roman" w:hAnsi="Times New Roman" w:cs="Times New Roman"/>
          <w:b/>
          <w:sz w:val="24"/>
          <w:szCs w:val="24"/>
        </w:rPr>
        <w:t>董事会</w:t>
      </w:r>
    </w:p>
    <w:p w14:paraId="037F0947">
      <w:pPr>
        <w:snapToGrid w:val="0"/>
        <w:spacing w:line="360" w:lineRule="auto"/>
        <w:ind w:firstLine="482" w:firstLineChars="200"/>
        <w:jc w:val="right"/>
        <w:rPr>
          <w:rFonts w:hint="default" w:ascii="Times New Roman" w:hAnsi="Times New Roman" w:cs="Times New Roman"/>
          <w:sz w:val="24"/>
          <w:szCs w:val="24"/>
        </w:rPr>
      </w:pPr>
      <w:r>
        <w:rPr>
          <w:rFonts w:hint="default" w:ascii="Times New Roman" w:hAnsi="Times New Roman" w:cs="Times New Roman"/>
          <w:b/>
          <w:sz w:val="24"/>
          <w:szCs w:val="24"/>
        </w:rPr>
        <w:t>202</w:t>
      </w:r>
      <w:r>
        <w:rPr>
          <w:rFonts w:hint="eastAsia" w:ascii="Times New Roman" w:hAnsi="Times New Roman" w:cs="Times New Roman"/>
          <w:b/>
          <w:sz w:val="24"/>
          <w:szCs w:val="24"/>
          <w:lang w:val="en-US" w:eastAsia="zh-CN"/>
        </w:rPr>
        <w:t>4</w:t>
      </w:r>
      <w:r>
        <w:rPr>
          <w:rFonts w:hint="default" w:ascii="Times New Roman" w:hAnsi="Times New Roman" w:cs="Times New Roman"/>
          <w:b/>
          <w:sz w:val="24"/>
          <w:szCs w:val="24"/>
        </w:rPr>
        <w:t>年</w:t>
      </w:r>
      <w:r>
        <w:rPr>
          <w:rFonts w:hint="eastAsia" w:cs="Times New Roman"/>
          <w:b/>
          <w:sz w:val="24"/>
          <w:szCs w:val="24"/>
          <w:lang w:val="en-US" w:eastAsia="zh-CN"/>
        </w:rPr>
        <w:t>8</w:t>
      </w:r>
      <w:r>
        <w:rPr>
          <w:rFonts w:hint="default" w:ascii="Times New Roman" w:hAnsi="Times New Roman" w:cs="Times New Roman"/>
          <w:b/>
          <w:sz w:val="24"/>
          <w:szCs w:val="24"/>
        </w:rPr>
        <w:t>月</w:t>
      </w:r>
      <w:r>
        <w:rPr>
          <w:rFonts w:hint="eastAsia" w:cs="Times New Roman"/>
          <w:b/>
          <w:sz w:val="24"/>
          <w:szCs w:val="24"/>
          <w:lang w:val="en-US" w:eastAsia="zh-CN"/>
        </w:rPr>
        <w:t>30</w:t>
      </w:r>
      <w:r>
        <w:rPr>
          <w:rFonts w:hint="default" w:ascii="Times New Roman" w:hAnsi="Times New Roman" w:cs="Times New Roman"/>
          <w:b/>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KaiTi_GB2312">
    <w:altName w:val="楷体"/>
    <w:panose1 w:val="02010609060101010101"/>
    <w:charset w:val="86"/>
    <w:family w:val="modern"/>
    <w:pitch w:val="default"/>
    <w:sig w:usb0="00000000" w:usb1="00000000"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C0007"/>
    <w:multiLevelType w:val="singleLevel"/>
    <w:tmpl w:val="18CC0007"/>
    <w:lvl w:ilvl="0" w:tentative="0">
      <w:start w:val="6"/>
      <w:numFmt w:val="decimal"/>
      <w:pStyle w:val="24"/>
      <w:lvlText w:val="%1、"/>
      <w:legacy w:legacy="1" w:legacySpace="0" w:legacyIndent="465"/>
      <w:lvlJc w:val="left"/>
      <w:pPr>
        <w:ind w:left="1035" w:hanging="465"/>
      </w:pPr>
      <w:rPr>
        <w:rFonts w:hint="eastAsia" w:ascii="KaiTi_GB2312" w:eastAsia="KaiTi_GB2312"/>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wMDhiNGI0YmE3ODA0NTM1ZmE0YTM1N2UwNWU2NGEifQ=="/>
  </w:docVars>
  <w:rsids>
    <w:rsidRoot w:val="00B07E69"/>
    <w:rsid w:val="000018E4"/>
    <w:rsid w:val="00001B05"/>
    <w:rsid w:val="00001F37"/>
    <w:rsid w:val="00003433"/>
    <w:rsid w:val="0000729F"/>
    <w:rsid w:val="00013BAD"/>
    <w:rsid w:val="00013DE7"/>
    <w:rsid w:val="0001484C"/>
    <w:rsid w:val="000222C4"/>
    <w:rsid w:val="00024767"/>
    <w:rsid w:val="000252E3"/>
    <w:rsid w:val="00027656"/>
    <w:rsid w:val="000315F7"/>
    <w:rsid w:val="00032084"/>
    <w:rsid w:val="000364D6"/>
    <w:rsid w:val="000405F2"/>
    <w:rsid w:val="00040745"/>
    <w:rsid w:val="00040E2A"/>
    <w:rsid w:val="000419AF"/>
    <w:rsid w:val="00045B28"/>
    <w:rsid w:val="00045FDE"/>
    <w:rsid w:val="000512F0"/>
    <w:rsid w:val="0005324B"/>
    <w:rsid w:val="000534B7"/>
    <w:rsid w:val="0005380D"/>
    <w:rsid w:val="00054673"/>
    <w:rsid w:val="00054DFE"/>
    <w:rsid w:val="000554BB"/>
    <w:rsid w:val="00055679"/>
    <w:rsid w:val="000559A8"/>
    <w:rsid w:val="000568EC"/>
    <w:rsid w:val="0005724A"/>
    <w:rsid w:val="000572AD"/>
    <w:rsid w:val="000579AD"/>
    <w:rsid w:val="00062129"/>
    <w:rsid w:val="00062E11"/>
    <w:rsid w:val="00063A9B"/>
    <w:rsid w:val="00063F7F"/>
    <w:rsid w:val="000645B1"/>
    <w:rsid w:val="00064887"/>
    <w:rsid w:val="0006546C"/>
    <w:rsid w:val="00081090"/>
    <w:rsid w:val="00081A66"/>
    <w:rsid w:val="000822BE"/>
    <w:rsid w:val="000828BD"/>
    <w:rsid w:val="00082936"/>
    <w:rsid w:val="00086615"/>
    <w:rsid w:val="000868C9"/>
    <w:rsid w:val="00090342"/>
    <w:rsid w:val="00093C0D"/>
    <w:rsid w:val="000A02FE"/>
    <w:rsid w:val="000A68BD"/>
    <w:rsid w:val="000B0888"/>
    <w:rsid w:val="000B22DD"/>
    <w:rsid w:val="000B3357"/>
    <w:rsid w:val="000B3495"/>
    <w:rsid w:val="000C0E38"/>
    <w:rsid w:val="000C0FE7"/>
    <w:rsid w:val="000C398E"/>
    <w:rsid w:val="000C50D1"/>
    <w:rsid w:val="000C5E04"/>
    <w:rsid w:val="000C71E5"/>
    <w:rsid w:val="000D1032"/>
    <w:rsid w:val="000D2D28"/>
    <w:rsid w:val="000D3D05"/>
    <w:rsid w:val="000D6F96"/>
    <w:rsid w:val="000D7118"/>
    <w:rsid w:val="000E03B2"/>
    <w:rsid w:val="000E4970"/>
    <w:rsid w:val="000E4DC9"/>
    <w:rsid w:val="000E4FF5"/>
    <w:rsid w:val="000E6CD7"/>
    <w:rsid w:val="000F0B77"/>
    <w:rsid w:val="000F26C4"/>
    <w:rsid w:val="000F33E2"/>
    <w:rsid w:val="000F3D49"/>
    <w:rsid w:val="000F3FEE"/>
    <w:rsid w:val="000F4132"/>
    <w:rsid w:val="000F55F2"/>
    <w:rsid w:val="000F69B3"/>
    <w:rsid w:val="000F6D10"/>
    <w:rsid w:val="000F7775"/>
    <w:rsid w:val="001008A5"/>
    <w:rsid w:val="00101550"/>
    <w:rsid w:val="00106F91"/>
    <w:rsid w:val="001077F4"/>
    <w:rsid w:val="0011228F"/>
    <w:rsid w:val="001132CB"/>
    <w:rsid w:val="00113D3C"/>
    <w:rsid w:val="00120AE3"/>
    <w:rsid w:val="00121480"/>
    <w:rsid w:val="00122502"/>
    <w:rsid w:val="00122815"/>
    <w:rsid w:val="00122928"/>
    <w:rsid w:val="00123294"/>
    <w:rsid w:val="00123D1A"/>
    <w:rsid w:val="001251EB"/>
    <w:rsid w:val="00127F6A"/>
    <w:rsid w:val="0013019C"/>
    <w:rsid w:val="00130517"/>
    <w:rsid w:val="001318C3"/>
    <w:rsid w:val="00132C15"/>
    <w:rsid w:val="001330A5"/>
    <w:rsid w:val="00135267"/>
    <w:rsid w:val="0013696E"/>
    <w:rsid w:val="00136AC4"/>
    <w:rsid w:val="00137B35"/>
    <w:rsid w:val="00140B6F"/>
    <w:rsid w:val="00141CE9"/>
    <w:rsid w:val="00142DF0"/>
    <w:rsid w:val="00143646"/>
    <w:rsid w:val="00147D93"/>
    <w:rsid w:val="00150D93"/>
    <w:rsid w:val="00152F22"/>
    <w:rsid w:val="00155356"/>
    <w:rsid w:val="001619BE"/>
    <w:rsid w:val="001672F9"/>
    <w:rsid w:val="001711B8"/>
    <w:rsid w:val="00171F37"/>
    <w:rsid w:val="001735A0"/>
    <w:rsid w:val="00174E35"/>
    <w:rsid w:val="00175408"/>
    <w:rsid w:val="001758B5"/>
    <w:rsid w:val="00175CBF"/>
    <w:rsid w:val="001779E1"/>
    <w:rsid w:val="0018038D"/>
    <w:rsid w:val="00180636"/>
    <w:rsid w:val="00182210"/>
    <w:rsid w:val="0018364A"/>
    <w:rsid w:val="00184563"/>
    <w:rsid w:val="001851C6"/>
    <w:rsid w:val="00186CD1"/>
    <w:rsid w:val="00190AA3"/>
    <w:rsid w:val="0019389A"/>
    <w:rsid w:val="00193EE4"/>
    <w:rsid w:val="0019426B"/>
    <w:rsid w:val="001943AE"/>
    <w:rsid w:val="00196DD8"/>
    <w:rsid w:val="001A077E"/>
    <w:rsid w:val="001A0C62"/>
    <w:rsid w:val="001A198A"/>
    <w:rsid w:val="001A26DE"/>
    <w:rsid w:val="001A27C9"/>
    <w:rsid w:val="001A3E5F"/>
    <w:rsid w:val="001A6CF4"/>
    <w:rsid w:val="001A6DBB"/>
    <w:rsid w:val="001A726D"/>
    <w:rsid w:val="001A75E0"/>
    <w:rsid w:val="001B1368"/>
    <w:rsid w:val="001B46CC"/>
    <w:rsid w:val="001B71DD"/>
    <w:rsid w:val="001C1F46"/>
    <w:rsid w:val="001C3BDD"/>
    <w:rsid w:val="001C55C8"/>
    <w:rsid w:val="001D1554"/>
    <w:rsid w:val="001D1FD2"/>
    <w:rsid w:val="001D27C2"/>
    <w:rsid w:val="001D4F4C"/>
    <w:rsid w:val="001D7325"/>
    <w:rsid w:val="001E504C"/>
    <w:rsid w:val="001E5811"/>
    <w:rsid w:val="001E5A48"/>
    <w:rsid w:val="001F1297"/>
    <w:rsid w:val="001F5845"/>
    <w:rsid w:val="001F6AA1"/>
    <w:rsid w:val="001F7A38"/>
    <w:rsid w:val="00200618"/>
    <w:rsid w:val="00203CC6"/>
    <w:rsid w:val="002042D4"/>
    <w:rsid w:val="002046EF"/>
    <w:rsid w:val="0021237C"/>
    <w:rsid w:val="00213050"/>
    <w:rsid w:val="00215345"/>
    <w:rsid w:val="0021591A"/>
    <w:rsid w:val="00217950"/>
    <w:rsid w:val="00221786"/>
    <w:rsid w:val="002219F2"/>
    <w:rsid w:val="00223FEE"/>
    <w:rsid w:val="00225612"/>
    <w:rsid w:val="00227D09"/>
    <w:rsid w:val="00231432"/>
    <w:rsid w:val="00232CED"/>
    <w:rsid w:val="00241B2A"/>
    <w:rsid w:val="00241C22"/>
    <w:rsid w:val="0024570C"/>
    <w:rsid w:val="0024605D"/>
    <w:rsid w:val="002462C7"/>
    <w:rsid w:val="00253C07"/>
    <w:rsid w:val="00253EB5"/>
    <w:rsid w:val="002572B1"/>
    <w:rsid w:val="0025767F"/>
    <w:rsid w:val="0026017F"/>
    <w:rsid w:val="00261D1D"/>
    <w:rsid w:val="0026213E"/>
    <w:rsid w:val="002654A6"/>
    <w:rsid w:val="00265BF8"/>
    <w:rsid w:val="00266E89"/>
    <w:rsid w:val="00267A6E"/>
    <w:rsid w:val="002710C2"/>
    <w:rsid w:val="002721D6"/>
    <w:rsid w:val="002733BF"/>
    <w:rsid w:val="00273AF5"/>
    <w:rsid w:val="00273E92"/>
    <w:rsid w:val="00274406"/>
    <w:rsid w:val="002815FE"/>
    <w:rsid w:val="002844B8"/>
    <w:rsid w:val="0028583F"/>
    <w:rsid w:val="00285ECD"/>
    <w:rsid w:val="00286AE0"/>
    <w:rsid w:val="0029131D"/>
    <w:rsid w:val="00292622"/>
    <w:rsid w:val="00292860"/>
    <w:rsid w:val="00294C3D"/>
    <w:rsid w:val="00295EA0"/>
    <w:rsid w:val="00296EE8"/>
    <w:rsid w:val="002A4FCB"/>
    <w:rsid w:val="002A5C87"/>
    <w:rsid w:val="002B03AF"/>
    <w:rsid w:val="002B22B3"/>
    <w:rsid w:val="002C4293"/>
    <w:rsid w:val="002D21A8"/>
    <w:rsid w:val="002D4AB5"/>
    <w:rsid w:val="002D746D"/>
    <w:rsid w:val="002D7DFE"/>
    <w:rsid w:val="002E024D"/>
    <w:rsid w:val="002E03A2"/>
    <w:rsid w:val="002E3DE1"/>
    <w:rsid w:val="002E7E85"/>
    <w:rsid w:val="002E7F16"/>
    <w:rsid w:val="002F0134"/>
    <w:rsid w:val="002F15EF"/>
    <w:rsid w:val="002F6A0E"/>
    <w:rsid w:val="0030260F"/>
    <w:rsid w:val="00302905"/>
    <w:rsid w:val="003035D6"/>
    <w:rsid w:val="003043E1"/>
    <w:rsid w:val="003062F8"/>
    <w:rsid w:val="003063A6"/>
    <w:rsid w:val="00310B85"/>
    <w:rsid w:val="00310EFD"/>
    <w:rsid w:val="0031131E"/>
    <w:rsid w:val="003134E1"/>
    <w:rsid w:val="00315795"/>
    <w:rsid w:val="00317F0E"/>
    <w:rsid w:val="0032030F"/>
    <w:rsid w:val="00320ACB"/>
    <w:rsid w:val="0032419B"/>
    <w:rsid w:val="00326EE7"/>
    <w:rsid w:val="00327C50"/>
    <w:rsid w:val="003318C5"/>
    <w:rsid w:val="00331EDD"/>
    <w:rsid w:val="00332548"/>
    <w:rsid w:val="0033435E"/>
    <w:rsid w:val="00337925"/>
    <w:rsid w:val="00344860"/>
    <w:rsid w:val="00346C94"/>
    <w:rsid w:val="003505F5"/>
    <w:rsid w:val="003514E4"/>
    <w:rsid w:val="00352FDF"/>
    <w:rsid w:val="003539D7"/>
    <w:rsid w:val="00354346"/>
    <w:rsid w:val="003546AA"/>
    <w:rsid w:val="00356450"/>
    <w:rsid w:val="00357CAD"/>
    <w:rsid w:val="00360E17"/>
    <w:rsid w:val="00362E93"/>
    <w:rsid w:val="00362EAB"/>
    <w:rsid w:val="003638CC"/>
    <w:rsid w:val="00364296"/>
    <w:rsid w:val="003646FE"/>
    <w:rsid w:val="0036792F"/>
    <w:rsid w:val="00367B9E"/>
    <w:rsid w:val="0037093D"/>
    <w:rsid w:val="00370C0B"/>
    <w:rsid w:val="003719EF"/>
    <w:rsid w:val="00373691"/>
    <w:rsid w:val="00373CFD"/>
    <w:rsid w:val="0037678A"/>
    <w:rsid w:val="00381162"/>
    <w:rsid w:val="00386C81"/>
    <w:rsid w:val="003900E3"/>
    <w:rsid w:val="00392691"/>
    <w:rsid w:val="00392A36"/>
    <w:rsid w:val="0039362B"/>
    <w:rsid w:val="00395D6C"/>
    <w:rsid w:val="003A292F"/>
    <w:rsid w:val="003A2989"/>
    <w:rsid w:val="003A2A74"/>
    <w:rsid w:val="003A3403"/>
    <w:rsid w:val="003A4AB1"/>
    <w:rsid w:val="003A51A7"/>
    <w:rsid w:val="003A607C"/>
    <w:rsid w:val="003A7C90"/>
    <w:rsid w:val="003B2FBC"/>
    <w:rsid w:val="003B4BB5"/>
    <w:rsid w:val="003B546C"/>
    <w:rsid w:val="003C03F3"/>
    <w:rsid w:val="003C0743"/>
    <w:rsid w:val="003C0B6B"/>
    <w:rsid w:val="003C0CB3"/>
    <w:rsid w:val="003C2E06"/>
    <w:rsid w:val="003C5EA8"/>
    <w:rsid w:val="003C6F4E"/>
    <w:rsid w:val="003C6FE9"/>
    <w:rsid w:val="003D0362"/>
    <w:rsid w:val="003D1DEA"/>
    <w:rsid w:val="003D3D95"/>
    <w:rsid w:val="003D60C8"/>
    <w:rsid w:val="003D6BA8"/>
    <w:rsid w:val="003E0DBA"/>
    <w:rsid w:val="003E5295"/>
    <w:rsid w:val="003E54CA"/>
    <w:rsid w:val="003E584F"/>
    <w:rsid w:val="003E7FF5"/>
    <w:rsid w:val="003F0050"/>
    <w:rsid w:val="003F0402"/>
    <w:rsid w:val="003F07F0"/>
    <w:rsid w:val="003F27DF"/>
    <w:rsid w:val="003F2969"/>
    <w:rsid w:val="003F3D44"/>
    <w:rsid w:val="003F4A59"/>
    <w:rsid w:val="003F61E2"/>
    <w:rsid w:val="004004A6"/>
    <w:rsid w:val="0040098A"/>
    <w:rsid w:val="00400D97"/>
    <w:rsid w:val="00402ED1"/>
    <w:rsid w:val="00403BC7"/>
    <w:rsid w:val="0040407C"/>
    <w:rsid w:val="004054C4"/>
    <w:rsid w:val="00405A64"/>
    <w:rsid w:val="0040741F"/>
    <w:rsid w:val="004100A0"/>
    <w:rsid w:val="00410D4C"/>
    <w:rsid w:val="00412C83"/>
    <w:rsid w:val="00414DAF"/>
    <w:rsid w:val="00415A70"/>
    <w:rsid w:val="0041664F"/>
    <w:rsid w:val="00416DB9"/>
    <w:rsid w:val="00417251"/>
    <w:rsid w:val="0041747D"/>
    <w:rsid w:val="00420C33"/>
    <w:rsid w:val="00422294"/>
    <w:rsid w:val="00425D5C"/>
    <w:rsid w:val="0043136C"/>
    <w:rsid w:val="00431A2F"/>
    <w:rsid w:val="004326D7"/>
    <w:rsid w:val="00433A97"/>
    <w:rsid w:val="004377D7"/>
    <w:rsid w:val="004403AB"/>
    <w:rsid w:val="00445D18"/>
    <w:rsid w:val="00447146"/>
    <w:rsid w:val="00451457"/>
    <w:rsid w:val="00456040"/>
    <w:rsid w:val="00457CA7"/>
    <w:rsid w:val="00460E7C"/>
    <w:rsid w:val="00460F8C"/>
    <w:rsid w:val="00461DEF"/>
    <w:rsid w:val="004624B3"/>
    <w:rsid w:val="00462862"/>
    <w:rsid w:val="0046429F"/>
    <w:rsid w:val="00465A3C"/>
    <w:rsid w:val="00465BF0"/>
    <w:rsid w:val="0047101A"/>
    <w:rsid w:val="00474C11"/>
    <w:rsid w:val="0047752E"/>
    <w:rsid w:val="00480602"/>
    <w:rsid w:val="00481AA6"/>
    <w:rsid w:val="00482B64"/>
    <w:rsid w:val="004833D2"/>
    <w:rsid w:val="0048507C"/>
    <w:rsid w:val="00486D35"/>
    <w:rsid w:val="004908EC"/>
    <w:rsid w:val="0049198B"/>
    <w:rsid w:val="00493E25"/>
    <w:rsid w:val="00493EF0"/>
    <w:rsid w:val="00495998"/>
    <w:rsid w:val="00497F57"/>
    <w:rsid w:val="004A1ADC"/>
    <w:rsid w:val="004A2D8A"/>
    <w:rsid w:val="004B1E05"/>
    <w:rsid w:val="004B2AA2"/>
    <w:rsid w:val="004B3D7C"/>
    <w:rsid w:val="004B4988"/>
    <w:rsid w:val="004C2611"/>
    <w:rsid w:val="004D0DF8"/>
    <w:rsid w:val="004D0F2E"/>
    <w:rsid w:val="004D1890"/>
    <w:rsid w:val="004D24CE"/>
    <w:rsid w:val="004D4403"/>
    <w:rsid w:val="004D5EE0"/>
    <w:rsid w:val="004E0EB1"/>
    <w:rsid w:val="004E1014"/>
    <w:rsid w:val="004E1819"/>
    <w:rsid w:val="004E39CC"/>
    <w:rsid w:val="004E3A40"/>
    <w:rsid w:val="004E6620"/>
    <w:rsid w:val="004E7D49"/>
    <w:rsid w:val="004F21A4"/>
    <w:rsid w:val="004F2974"/>
    <w:rsid w:val="004F5478"/>
    <w:rsid w:val="004F6473"/>
    <w:rsid w:val="005007E2"/>
    <w:rsid w:val="00501102"/>
    <w:rsid w:val="00501F06"/>
    <w:rsid w:val="00503452"/>
    <w:rsid w:val="00503478"/>
    <w:rsid w:val="005116FD"/>
    <w:rsid w:val="00511A8A"/>
    <w:rsid w:val="00516D72"/>
    <w:rsid w:val="005207EB"/>
    <w:rsid w:val="005224F0"/>
    <w:rsid w:val="00523355"/>
    <w:rsid w:val="00523AA6"/>
    <w:rsid w:val="005242ED"/>
    <w:rsid w:val="00524753"/>
    <w:rsid w:val="0052623C"/>
    <w:rsid w:val="00527F5B"/>
    <w:rsid w:val="00531D5B"/>
    <w:rsid w:val="005331CF"/>
    <w:rsid w:val="0053371C"/>
    <w:rsid w:val="00537B62"/>
    <w:rsid w:val="00540445"/>
    <w:rsid w:val="00540C51"/>
    <w:rsid w:val="005454D5"/>
    <w:rsid w:val="00550D32"/>
    <w:rsid w:val="00553397"/>
    <w:rsid w:val="005549AD"/>
    <w:rsid w:val="005550AE"/>
    <w:rsid w:val="005552D9"/>
    <w:rsid w:val="00555C62"/>
    <w:rsid w:val="005565AC"/>
    <w:rsid w:val="00556B0B"/>
    <w:rsid w:val="00557C71"/>
    <w:rsid w:val="0056499A"/>
    <w:rsid w:val="00566CDD"/>
    <w:rsid w:val="00566ECF"/>
    <w:rsid w:val="00570EA4"/>
    <w:rsid w:val="005721B0"/>
    <w:rsid w:val="005777B9"/>
    <w:rsid w:val="00580136"/>
    <w:rsid w:val="00584937"/>
    <w:rsid w:val="00584BA1"/>
    <w:rsid w:val="00584DA1"/>
    <w:rsid w:val="00585497"/>
    <w:rsid w:val="005870C8"/>
    <w:rsid w:val="00587BF1"/>
    <w:rsid w:val="0059030C"/>
    <w:rsid w:val="00590CD5"/>
    <w:rsid w:val="005956B0"/>
    <w:rsid w:val="00596D32"/>
    <w:rsid w:val="005A1320"/>
    <w:rsid w:val="005A4CEA"/>
    <w:rsid w:val="005A72D8"/>
    <w:rsid w:val="005B3619"/>
    <w:rsid w:val="005B3A52"/>
    <w:rsid w:val="005C0744"/>
    <w:rsid w:val="005C3F4D"/>
    <w:rsid w:val="005D149B"/>
    <w:rsid w:val="005D3F2F"/>
    <w:rsid w:val="005D7223"/>
    <w:rsid w:val="005E0C92"/>
    <w:rsid w:val="005E105C"/>
    <w:rsid w:val="005E6583"/>
    <w:rsid w:val="005F1E32"/>
    <w:rsid w:val="005F2A66"/>
    <w:rsid w:val="005F35E4"/>
    <w:rsid w:val="005F3CD7"/>
    <w:rsid w:val="005F7051"/>
    <w:rsid w:val="00605620"/>
    <w:rsid w:val="00606C39"/>
    <w:rsid w:val="00611B4C"/>
    <w:rsid w:val="00615CA9"/>
    <w:rsid w:val="0061686A"/>
    <w:rsid w:val="006170F1"/>
    <w:rsid w:val="00617F18"/>
    <w:rsid w:val="006204BA"/>
    <w:rsid w:val="006240FE"/>
    <w:rsid w:val="00624D1A"/>
    <w:rsid w:val="00627C23"/>
    <w:rsid w:val="00630AA0"/>
    <w:rsid w:val="0063222D"/>
    <w:rsid w:val="00632817"/>
    <w:rsid w:val="00634F3D"/>
    <w:rsid w:val="0063550F"/>
    <w:rsid w:val="00636B7E"/>
    <w:rsid w:val="00637763"/>
    <w:rsid w:val="00642525"/>
    <w:rsid w:val="006501FD"/>
    <w:rsid w:val="0065064E"/>
    <w:rsid w:val="00651CA5"/>
    <w:rsid w:val="00652542"/>
    <w:rsid w:val="00652600"/>
    <w:rsid w:val="00652C81"/>
    <w:rsid w:val="00657A1A"/>
    <w:rsid w:val="00661874"/>
    <w:rsid w:val="00662635"/>
    <w:rsid w:val="006634C7"/>
    <w:rsid w:val="006708BA"/>
    <w:rsid w:val="00670B7D"/>
    <w:rsid w:val="00671D3A"/>
    <w:rsid w:val="00671D3E"/>
    <w:rsid w:val="0067673B"/>
    <w:rsid w:val="00680400"/>
    <w:rsid w:val="00680C95"/>
    <w:rsid w:val="00683E22"/>
    <w:rsid w:val="006857C3"/>
    <w:rsid w:val="00691439"/>
    <w:rsid w:val="0069288B"/>
    <w:rsid w:val="00693012"/>
    <w:rsid w:val="006934B5"/>
    <w:rsid w:val="006946BB"/>
    <w:rsid w:val="006972AD"/>
    <w:rsid w:val="00697BAD"/>
    <w:rsid w:val="006A209E"/>
    <w:rsid w:val="006A2416"/>
    <w:rsid w:val="006A2693"/>
    <w:rsid w:val="006A471B"/>
    <w:rsid w:val="006A5E20"/>
    <w:rsid w:val="006B17F7"/>
    <w:rsid w:val="006B1B3C"/>
    <w:rsid w:val="006B322C"/>
    <w:rsid w:val="006B32BF"/>
    <w:rsid w:val="006B444E"/>
    <w:rsid w:val="006C17F8"/>
    <w:rsid w:val="006C3121"/>
    <w:rsid w:val="006C34E7"/>
    <w:rsid w:val="006C5854"/>
    <w:rsid w:val="006C71F2"/>
    <w:rsid w:val="006D03F5"/>
    <w:rsid w:val="006D073C"/>
    <w:rsid w:val="006D1331"/>
    <w:rsid w:val="006D24A5"/>
    <w:rsid w:val="006D39D0"/>
    <w:rsid w:val="006D3D1B"/>
    <w:rsid w:val="006D4403"/>
    <w:rsid w:val="006E093A"/>
    <w:rsid w:val="006E22F6"/>
    <w:rsid w:val="006E2BE6"/>
    <w:rsid w:val="006E2EAB"/>
    <w:rsid w:val="006E4F70"/>
    <w:rsid w:val="006E526A"/>
    <w:rsid w:val="006F08C6"/>
    <w:rsid w:val="006F2783"/>
    <w:rsid w:val="006F2CE6"/>
    <w:rsid w:val="006F4AAE"/>
    <w:rsid w:val="006F5D6A"/>
    <w:rsid w:val="006F6E1C"/>
    <w:rsid w:val="006F715E"/>
    <w:rsid w:val="007005CA"/>
    <w:rsid w:val="00700761"/>
    <w:rsid w:val="00702852"/>
    <w:rsid w:val="00702A98"/>
    <w:rsid w:val="00702FAD"/>
    <w:rsid w:val="00706136"/>
    <w:rsid w:val="00710858"/>
    <w:rsid w:val="007134A0"/>
    <w:rsid w:val="00716232"/>
    <w:rsid w:val="007162F2"/>
    <w:rsid w:val="00716C3D"/>
    <w:rsid w:val="00722AE8"/>
    <w:rsid w:val="0072305D"/>
    <w:rsid w:val="0072360C"/>
    <w:rsid w:val="00723937"/>
    <w:rsid w:val="007303CA"/>
    <w:rsid w:val="00730F53"/>
    <w:rsid w:val="0073247B"/>
    <w:rsid w:val="00733D3D"/>
    <w:rsid w:val="00740AB8"/>
    <w:rsid w:val="0074467B"/>
    <w:rsid w:val="00744E34"/>
    <w:rsid w:val="00747593"/>
    <w:rsid w:val="00751696"/>
    <w:rsid w:val="00753911"/>
    <w:rsid w:val="00753AD4"/>
    <w:rsid w:val="007545CE"/>
    <w:rsid w:val="0075504F"/>
    <w:rsid w:val="007627B2"/>
    <w:rsid w:val="00770B79"/>
    <w:rsid w:val="007740D4"/>
    <w:rsid w:val="00775D17"/>
    <w:rsid w:val="00777B97"/>
    <w:rsid w:val="007802AE"/>
    <w:rsid w:val="007823C8"/>
    <w:rsid w:val="007838FB"/>
    <w:rsid w:val="007862F9"/>
    <w:rsid w:val="00786927"/>
    <w:rsid w:val="00793EB9"/>
    <w:rsid w:val="00797A7D"/>
    <w:rsid w:val="007A198A"/>
    <w:rsid w:val="007A2A9E"/>
    <w:rsid w:val="007A577B"/>
    <w:rsid w:val="007A62DB"/>
    <w:rsid w:val="007A6E3D"/>
    <w:rsid w:val="007A7F89"/>
    <w:rsid w:val="007B007C"/>
    <w:rsid w:val="007B2111"/>
    <w:rsid w:val="007B2426"/>
    <w:rsid w:val="007B3B6A"/>
    <w:rsid w:val="007B69F4"/>
    <w:rsid w:val="007B7C4C"/>
    <w:rsid w:val="007C261C"/>
    <w:rsid w:val="007C3C54"/>
    <w:rsid w:val="007C74BE"/>
    <w:rsid w:val="007D02E0"/>
    <w:rsid w:val="007D77E3"/>
    <w:rsid w:val="007E1D0E"/>
    <w:rsid w:val="007E5775"/>
    <w:rsid w:val="007E652F"/>
    <w:rsid w:val="007F3469"/>
    <w:rsid w:val="00800509"/>
    <w:rsid w:val="00802140"/>
    <w:rsid w:val="008021AC"/>
    <w:rsid w:val="008069B6"/>
    <w:rsid w:val="00806EB4"/>
    <w:rsid w:val="00807400"/>
    <w:rsid w:val="0081143F"/>
    <w:rsid w:val="00811612"/>
    <w:rsid w:val="00812E89"/>
    <w:rsid w:val="00814C84"/>
    <w:rsid w:val="00815DA7"/>
    <w:rsid w:val="00821CF8"/>
    <w:rsid w:val="00821E29"/>
    <w:rsid w:val="00823195"/>
    <w:rsid w:val="00827788"/>
    <w:rsid w:val="0083025F"/>
    <w:rsid w:val="00830A44"/>
    <w:rsid w:val="00832537"/>
    <w:rsid w:val="00833A64"/>
    <w:rsid w:val="00836155"/>
    <w:rsid w:val="00836D6C"/>
    <w:rsid w:val="00836F29"/>
    <w:rsid w:val="00842435"/>
    <w:rsid w:val="008444D6"/>
    <w:rsid w:val="00847E3F"/>
    <w:rsid w:val="008516BC"/>
    <w:rsid w:val="00853E68"/>
    <w:rsid w:val="00861739"/>
    <w:rsid w:val="008629B0"/>
    <w:rsid w:val="0086311A"/>
    <w:rsid w:val="00864765"/>
    <w:rsid w:val="008648F7"/>
    <w:rsid w:val="008652D5"/>
    <w:rsid w:val="00867CD3"/>
    <w:rsid w:val="008711C0"/>
    <w:rsid w:val="00873BA3"/>
    <w:rsid w:val="0087440C"/>
    <w:rsid w:val="0087519C"/>
    <w:rsid w:val="00880682"/>
    <w:rsid w:val="00880CCA"/>
    <w:rsid w:val="008845F8"/>
    <w:rsid w:val="00885EB1"/>
    <w:rsid w:val="00886FAA"/>
    <w:rsid w:val="008877BC"/>
    <w:rsid w:val="008904F9"/>
    <w:rsid w:val="00890BE1"/>
    <w:rsid w:val="00891F38"/>
    <w:rsid w:val="00892379"/>
    <w:rsid w:val="0089486B"/>
    <w:rsid w:val="00894B9F"/>
    <w:rsid w:val="00894CF8"/>
    <w:rsid w:val="008957D3"/>
    <w:rsid w:val="00895CD4"/>
    <w:rsid w:val="00896298"/>
    <w:rsid w:val="00896432"/>
    <w:rsid w:val="00896A4D"/>
    <w:rsid w:val="00897DC3"/>
    <w:rsid w:val="008A058C"/>
    <w:rsid w:val="008A074F"/>
    <w:rsid w:val="008A2897"/>
    <w:rsid w:val="008A296B"/>
    <w:rsid w:val="008A3968"/>
    <w:rsid w:val="008A5EF8"/>
    <w:rsid w:val="008A77CB"/>
    <w:rsid w:val="008A7B24"/>
    <w:rsid w:val="008B142A"/>
    <w:rsid w:val="008B394A"/>
    <w:rsid w:val="008B3CB8"/>
    <w:rsid w:val="008B51EC"/>
    <w:rsid w:val="008B539C"/>
    <w:rsid w:val="008B5518"/>
    <w:rsid w:val="008B5690"/>
    <w:rsid w:val="008B5D46"/>
    <w:rsid w:val="008B6972"/>
    <w:rsid w:val="008B6DF2"/>
    <w:rsid w:val="008B6F11"/>
    <w:rsid w:val="008B718D"/>
    <w:rsid w:val="008B7AC8"/>
    <w:rsid w:val="008C0225"/>
    <w:rsid w:val="008C0D4A"/>
    <w:rsid w:val="008C3079"/>
    <w:rsid w:val="008C3AF2"/>
    <w:rsid w:val="008C4CBE"/>
    <w:rsid w:val="008C5723"/>
    <w:rsid w:val="008C5CC6"/>
    <w:rsid w:val="008C6A19"/>
    <w:rsid w:val="008D21B7"/>
    <w:rsid w:val="008D26B8"/>
    <w:rsid w:val="008D2A32"/>
    <w:rsid w:val="008D31A2"/>
    <w:rsid w:val="008D3ADB"/>
    <w:rsid w:val="008D511F"/>
    <w:rsid w:val="008E1B45"/>
    <w:rsid w:val="008E2829"/>
    <w:rsid w:val="008E3435"/>
    <w:rsid w:val="008E6E4D"/>
    <w:rsid w:val="008E75FE"/>
    <w:rsid w:val="008E7C7B"/>
    <w:rsid w:val="008F19F4"/>
    <w:rsid w:val="008F3F5E"/>
    <w:rsid w:val="008F4325"/>
    <w:rsid w:val="008F4735"/>
    <w:rsid w:val="008F478A"/>
    <w:rsid w:val="008F6A95"/>
    <w:rsid w:val="008F7457"/>
    <w:rsid w:val="00911EDE"/>
    <w:rsid w:val="00912A93"/>
    <w:rsid w:val="00913D6F"/>
    <w:rsid w:val="00914888"/>
    <w:rsid w:val="00914BC1"/>
    <w:rsid w:val="00915497"/>
    <w:rsid w:val="0091560D"/>
    <w:rsid w:val="00916308"/>
    <w:rsid w:val="00916CA2"/>
    <w:rsid w:val="00917392"/>
    <w:rsid w:val="0091755E"/>
    <w:rsid w:val="00920C1C"/>
    <w:rsid w:val="009216D3"/>
    <w:rsid w:val="00922B6D"/>
    <w:rsid w:val="00924E12"/>
    <w:rsid w:val="00924F01"/>
    <w:rsid w:val="009330D8"/>
    <w:rsid w:val="0093317B"/>
    <w:rsid w:val="00933722"/>
    <w:rsid w:val="009371DD"/>
    <w:rsid w:val="00941418"/>
    <w:rsid w:val="00943D83"/>
    <w:rsid w:val="009440F3"/>
    <w:rsid w:val="00947275"/>
    <w:rsid w:val="00947C3F"/>
    <w:rsid w:val="00947C97"/>
    <w:rsid w:val="00950C04"/>
    <w:rsid w:val="0095148B"/>
    <w:rsid w:val="0095164E"/>
    <w:rsid w:val="00956B63"/>
    <w:rsid w:val="00961BD2"/>
    <w:rsid w:val="0096200B"/>
    <w:rsid w:val="0096261D"/>
    <w:rsid w:val="009644C0"/>
    <w:rsid w:val="00964D31"/>
    <w:rsid w:val="009657AE"/>
    <w:rsid w:val="009667F1"/>
    <w:rsid w:val="00966E8A"/>
    <w:rsid w:val="00967A76"/>
    <w:rsid w:val="00972012"/>
    <w:rsid w:val="0097255F"/>
    <w:rsid w:val="00973282"/>
    <w:rsid w:val="00973EA7"/>
    <w:rsid w:val="00974E3F"/>
    <w:rsid w:val="009765BD"/>
    <w:rsid w:val="00976CE0"/>
    <w:rsid w:val="00977388"/>
    <w:rsid w:val="00977493"/>
    <w:rsid w:val="00981E18"/>
    <w:rsid w:val="009842E9"/>
    <w:rsid w:val="00985599"/>
    <w:rsid w:val="009919D7"/>
    <w:rsid w:val="00992E33"/>
    <w:rsid w:val="009930C3"/>
    <w:rsid w:val="0099415E"/>
    <w:rsid w:val="00995B71"/>
    <w:rsid w:val="0099629A"/>
    <w:rsid w:val="009A00C4"/>
    <w:rsid w:val="009A137D"/>
    <w:rsid w:val="009A2381"/>
    <w:rsid w:val="009A364A"/>
    <w:rsid w:val="009A38E7"/>
    <w:rsid w:val="009B01FB"/>
    <w:rsid w:val="009B2245"/>
    <w:rsid w:val="009B28D6"/>
    <w:rsid w:val="009C1FB9"/>
    <w:rsid w:val="009C4852"/>
    <w:rsid w:val="009C67C6"/>
    <w:rsid w:val="009C7C55"/>
    <w:rsid w:val="009D159C"/>
    <w:rsid w:val="009D240B"/>
    <w:rsid w:val="009D2418"/>
    <w:rsid w:val="009D31B1"/>
    <w:rsid w:val="009D45A0"/>
    <w:rsid w:val="009D5DDD"/>
    <w:rsid w:val="009E3356"/>
    <w:rsid w:val="009E625E"/>
    <w:rsid w:val="009E6673"/>
    <w:rsid w:val="009F02B0"/>
    <w:rsid w:val="009F060F"/>
    <w:rsid w:val="009F2C28"/>
    <w:rsid w:val="009F6740"/>
    <w:rsid w:val="00A016A1"/>
    <w:rsid w:val="00A02D71"/>
    <w:rsid w:val="00A033D1"/>
    <w:rsid w:val="00A039F9"/>
    <w:rsid w:val="00A03A10"/>
    <w:rsid w:val="00A03ECA"/>
    <w:rsid w:val="00A0494E"/>
    <w:rsid w:val="00A0661E"/>
    <w:rsid w:val="00A1029E"/>
    <w:rsid w:val="00A102BA"/>
    <w:rsid w:val="00A15450"/>
    <w:rsid w:val="00A16F14"/>
    <w:rsid w:val="00A207C9"/>
    <w:rsid w:val="00A26FA9"/>
    <w:rsid w:val="00A307CB"/>
    <w:rsid w:val="00A37EF4"/>
    <w:rsid w:val="00A4177A"/>
    <w:rsid w:val="00A42BCF"/>
    <w:rsid w:val="00A43E47"/>
    <w:rsid w:val="00A4747D"/>
    <w:rsid w:val="00A50CAF"/>
    <w:rsid w:val="00A55B47"/>
    <w:rsid w:val="00A569CA"/>
    <w:rsid w:val="00A571FF"/>
    <w:rsid w:val="00A57D61"/>
    <w:rsid w:val="00A57DEC"/>
    <w:rsid w:val="00A622A9"/>
    <w:rsid w:val="00A627CF"/>
    <w:rsid w:val="00A63330"/>
    <w:rsid w:val="00A64883"/>
    <w:rsid w:val="00A66724"/>
    <w:rsid w:val="00A71F5F"/>
    <w:rsid w:val="00A72A00"/>
    <w:rsid w:val="00A733BF"/>
    <w:rsid w:val="00A7493B"/>
    <w:rsid w:val="00A74F52"/>
    <w:rsid w:val="00A75EB3"/>
    <w:rsid w:val="00A80148"/>
    <w:rsid w:val="00A81CC3"/>
    <w:rsid w:val="00A82521"/>
    <w:rsid w:val="00A86B40"/>
    <w:rsid w:val="00A902B4"/>
    <w:rsid w:val="00A90B03"/>
    <w:rsid w:val="00A91721"/>
    <w:rsid w:val="00A91E0E"/>
    <w:rsid w:val="00A9289B"/>
    <w:rsid w:val="00A93B8B"/>
    <w:rsid w:val="00A945A9"/>
    <w:rsid w:val="00A9498D"/>
    <w:rsid w:val="00A96132"/>
    <w:rsid w:val="00A9700B"/>
    <w:rsid w:val="00AA0787"/>
    <w:rsid w:val="00AA1A6C"/>
    <w:rsid w:val="00AA1DD7"/>
    <w:rsid w:val="00AA33A9"/>
    <w:rsid w:val="00AA3925"/>
    <w:rsid w:val="00AA4AA1"/>
    <w:rsid w:val="00AA68EB"/>
    <w:rsid w:val="00AA7562"/>
    <w:rsid w:val="00AA75B1"/>
    <w:rsid w:val="00AA768C"/>
    <w:rsid w:val="00AB2128"/>
    <w:rsid w:val="00AB24EF"/>
    <w:rsid w:val="00AB3068"/>
    <w:rsid w:val="00AB3F07"/>
    <w:rsid w:val="00AB5465"/>
    <w:rsid w:val="00AB5C15"/>
    <w:rsid w:val="00AB60AA"/>
    <w:rsid w:val="00AB6F2F"/>
    <w:rsid w:val="00AC0B61"/>
    <w:rsid w:val="00AC3629"/>
    <w:rsid w:val="00AC46C6"/>
    <w:rsid w:val="00AC60FC"/>
    <w:rsid w:val="00AC694B"/>
    <w:rsid w:val="00AC69C1"/>
    <w:rsid w:val="00AC7FF2"/>
    <w:rsid w:val="00AD194D"/>
    <w:rsid w:val="00AD27D3"/>
    <w:rsid w:val="00AD52C2"/>
    <w:rsid w:val="00AE1D4A"/>
    <w:rsid w:val="00AE3319"/>
    <w:rsid w:val="00AF12CD"/>
    <w:rsid w:val="00AF175A"/>
    <w:rsid w:val="00AF1A0A"/>
    <w:rsid w:val="00AF1E23"/>
    <w:rsid w:val="00AF26A0"/>
    <w:rsid w:val="00AF30AC"/>
    <w:rsid w:val="00AF6C67"/>
    <w:rsid w:val="00AF76B0"/>
    <w:rsid w:val="00B0137C"/>
    <w:rsid w:val="00B018FB"/>
    <w:rsid w:val="00B02353"/>
    <w:rsid w:val="00B03255"/>
    <w:rsid w:val="00B05597"/>
    <w:rsid w:val="00B05697"/>
    <w:rsid w:val="00B06853"/>
    <w:rsid w:val="00B07E69"/>
    <w:rsid w:val="00B1351B"/>
    <w:rsid w:val="00B16731"/>
    <w:rsid w:val="00B17EC9"/>
    <w:rsid w:val="00B17F12"/>
    <w:rsid w:val="00B21053"/>
    <w:rsid w:val="00B215E0"/>
    <w:rsid w:val="00B22A2E"/>
    <w:rsid w:val="00B22F30"/>
    <w:rsid w:val="00B233D6"/>
    <w:rsid w:val="00B275FD"/>
    <w:rsid w:val="00B3050E"/>
    <w:rsid w:val="00B31606"/>
    <w:rsid w:val="00B31A31"/>
    <w:rsid w:val="00B34661"/>
    <w:rsid w:val="00B4086E"/>
    <w:rsid w:val="00B41D9C"/>
    <w:rsid w:val="00B44726"/>
    <w:rsid w:val="00B44BB7"/>
    <w:rsid w:val="00B45575"/>
    <w:rsid w:val="00B45CEC"/>
    <w:rsid w:val="00B45F85"/>
    <w:rsid w:val="00B47C56"/>
    <w:rsid w:val="00B503B0"/>
    <w:rsid w:val="00B5147D"/>
    <w:rsid w:val="00B514D5"/>
    <w:rsid w:val="00B522F2"/>
    <w:rsid w:val="00B54BED"/>
    <w:rsid w:val="00B56509"/>
    <w:rsid w:val="00B60136"/>
    <w:rsid w:val="00B60205"/>
    <w:rsid w:val="00B61285"/>
    <w:rsid w:val="00B61617"/>
    <w:rsid w:val="00B616C7"/>
    <w:rsid w:val="00B63347"/>
    <w:rsid w:val="00B637DC"/>
    <w:rsid w:val="00B6394E"/>
    <w:rsid w:val="00B6496A"/>
    <w:rsid w:val="00B650B4"/>
    <w:rsid w:val="00B67524"/>
    <w:rsid w:val="00B703CD"/>
    <w:rsid w:val="00B70DF2"/>
    <w:rsid w:val="00B72369"/>
    <w:rsid w:val="00B734A0"/>
    <w:rsid w:val="00B747EE"/>
    <w:rsid w:val="00B77DA7"/>
    <w:rsid w:val="00B806DF"/>
    <w:rsid w:val="00B8079F"/>
    <w:rsid w:val="00B81E50"/>
    <w:rsid w:val="00B82C78"/>
    <w:rsid w:val="00B8396E"/>
    <w:rsid w:val="00B8659D"/>
    <w:rsid w:val="00B87BDB"/>
    <w:rsid w:val="00B95EE5"/>
    <w:rsid w:val="00B977B2"/>
    <w:rsid w:val="00BA00BC"/>
    <w:rsid w:val="00BA0AFE"/>
    <w:rsid w:val="00BA0BA8"/>
    <w:rsid w:val="00BA1B40"/>
    <w:rsid w:val="00BA3B05"/>
    <w:rsid w:val="00BA6BEE"/>
    <w:rsid w:val="00BA738D"/>
    <w:rsid w:val="00BA7D20"/>
    <w:rsid w:val="00BB3101"/>
    <w:rsid w:val="00BB53E8"/>
    <w:rsid w:val="00BC0CF0"/>
    <w:rsid w:val="00BC5A27"/>
    <w:rsid w:val="00BC6AFB"/>
    <w:rsid w:val="00BC6B81"/>
    <w:rsid w:val="00BC7D37"/>
    <w:rsid w:val="00BD2F75"/>
    <w:rsid w:val="00BD4405"/>
    <w:rsid w:val="00BD6A90"/>
    <w:rsid w:val="00BE000D"/>
    <w:rsid w:val="00BE08EB"/>
    <w:rsid w:val="00BE1D85"/>
    <w:rsid w:val="00BE2148"/>
    <w:rsid w:val="00BE32A1"/>
    <w:rsid w:val="00BE3449"/>
    <w:rsid w:val="00BE4D04"/>
    <w:rsid w:val="00BE5EF9"/>
    <w:rsid w:val="00BF5D9F"/>
    <w:rsid w:val="00C026E9"/>
    <w:rsid w:val="00C03D29"/>
    <w:rsid w:val="00C05278"/>
    <w:rsid w:val="00C05E26"/>
    <w:rsid w:val="00C071D0"/>
    <w:rsid w:val="00C074E2"/>
    <w:rsid w:val="00C07A47"/>
    <w:rsid w:val="00C07C15"/>
    <w:rsid w:val="00C11A2F"/>
    <w:rsid w:val="00C11C26"/>
    <w:rsid w:val="00C132E1"/>
    <w:rsid w:val="00C132F6"/>
    <w:rsid w:val="00C14B50"/>
    <w:rsid w:val="00C15330"/>
    <w:rsid w:val="00C16C41"/>
    <w:rsid w:val="00C267F1"/>
    <w:rsid w:val="00C26D3E"/>
    <w:rsid w:val="00C30821"/>
    <w:rsid w:val="00C3266C"/>
    <w:rsid w:val="00C327DF"/>
    <w:rsid w:val="00C32F40"/>
    <w:rsid w:val="00C333A4"/>
    <w:rsid w:val="00C36E6D"/>
    <w:rsid w:val="00C408C3"/>
    <w:rsid w:val="00C41E86"/>
    <w:rsid w:val="00C42D11"/>
    <w:rsid w:val="00C4725B"/>
    <w:rsid w:val="00C52934"/>
    <w:rsid w:val="00C53949"/>
    <w:rsid w:val="00C55776"/>
    <w:rsid w:val="00C56BAA"/>
    <w:rsid w:val="00C57648"/>
    <w:rsid w:val="00C61053"/>
    <w:rsid w:val="00C61709"/>
    <w:rsid w:val="00C61C9B"/>
    <w:rsid w:val="00C62285"/>
    <w:rsid w:val="00C631F8"/>
    <w:rsid w:val="00C641DB"/>
    <w:rsid w:val="00C703D5"/>
    <w:rsid w:val="00C7147D"/>
    <w:rsid w:val="00C72262"/>
    <w:rsid w:val="00C73943"/>
    <w:rsid w:val="00C7465F"/>
    <w:rsid w:val="00C75664"/>
    <w:rsid w:val="00C7756B"/>
    <w:rsid w:val="00C77EC8"/>
    <w:rsid w:val="00C82400"/>
    <w:rsid w:val="00C83B33"/>
    <w:rsid w:val="00C83BC4"/>
    <w:rsid w:val="00C843B6"/>
    <w:rsid w:val="00C85D9B"/>
    <w:rsid w:val="00C86D05"/>
    <w:rsid w:val="00C91367"/>
    <w:rsid w:val="00C91508"/>
    <w:rsid w:val="00C917E3"/>
    <w:rsid w:val="00C91A97"/>
    <w:rsid w:val="00C92F6D"/>
    <w:rsid w:val="00CA01DF"/>
    <w:rsid w:val="00CA2D30"/>
    <w:rsid w:val="00CA42A1"/>
    <w:rsid w:val="00CA6F65"/>
    <w:rsid w:val="00CA7442"/>
    <w:rsid w:val="00CA7DE0"/>
    <w:rsid w:val="00CB1465"/>
    <w:rsid w:val="00CB56C9"/>
    <w:rsid w:val="00CC0C7D"/>
    <w:rsid w:val="00CC18BB"/>
    <w:rsid w:val="00CC1C44"/>
    <w:rsid w:val="00CC44A7"/>
    <w:rsid w:val="00CC4D5A"/>
    <w:rsid w:val="00CC52F6"/>
    <w:rsid w:val="00CC5726"/>
    <w:rsid w:val="00CD0988"/>
    <w:rsid w:val="00CD0BA3"/>
    <w:rsid w:val="00CD523F"/>
    <w:rsid w:val="00CD5927"/>
    <w:rsid w:val="00CE00A5"/>
    <w:rsid w:val="00CE0B0B"/>
    <w:rsid w:val="00CE2447"/>
    <w:rsid w:val="00CE2C31"/>
    <w:rsid w:val="00CE365F"/>
    <w:rsid w:val="00CE45FB"/>
    <w:rsid w:val="00CF18FC"/>
    <w:rsid w:val="00CF2204"/>
    <w:rsid w:val="00CF3624"/>
    <w:rsid w:val="00CF5AF8"/>
    <w:rsid w:val="00CF624F"/>
    <w:rsid w:val="00D00478"/>
    <w:rsid w:val="00D03250"/>
    <w:rsid w:val="00D0433B"/>
    <w:rsid w:val="00D06450"/>
    <w:rsid w:val="00D0712E"/>
    <w:rsid w:val="00D10C7D"/>
    <w:rsid w:val="00D13A10"/>
    <w:rsid w:val="00D15314"/>
    <w:rsid w:val="00D15FEB"/>
    <w:rsid w:val="00D171B5"/>
    <w:rsid w:val="00D20ED8"/>
    <w:rsid w:val="00D21B12"/>
    <w:rsid w:val="00D2586E"/>
    <w:rsid w:val="00D30AD1"/>
    <w:rsid w:val="00D322EB"/>
    <w:rsid w:val="00D32F6B"/>
    <w:rsid w:val="00D40721"/>
    <w:rsid w:val="00D42F8B"/>
    <w:rsid w:val="00D43600"/>
    <w:rsid w:val="00D460B3"/>
    <w:rsid w:val="00D463CD"/>
    <w:rsid w:val="00D46D69"/>
    <w:rsid w:val="00D46DB3"/>
    <w:rsid w:val="00D5126B"/>
    <w:rsid w:val="00D51336"/>
    <w:rsid w:val="00D526A9"/>
    <w:rsid w:val="00D527C0"/>
    <w:rsid w:val="00D53897"/>
    <w:rsid w:val="00D54D2B"/>
    <w:rsid w:val="00D54F26"/>
    <w:rsid w:val="00D54F65"/>
    <w:rsid w:val="00D55D6D"/>
    <w:rsid w:val="00D56EBE"/>
    <w:rsid w:val="00D60DB8"/>
    <w:rsid w:val="00D610D8"/>
    <w:rsid w:val="00D611C4"/>
    <w:rsid w:val="00D616C9"/>
    <w:rsid w:val="00D61A7A"/>
    <w:rsid w:val="00D62456"/>
    <w:rsid w:val="00D6402A"/>
    <w:rsid w:val="00D64F2F"/>
    <w:rsid w:val="00D67AFF"/>
    <w:rsid w:val="00D70D8D"/>
    <w:rsid w:val="00D71438"/>
    <w:rsid w:val="00D723A3"/>
    <w:rsid w:val="00D72A92"/>
    <w:rsid w:val="00D73ECE"/>
    <w:rsid w:val="00D74113"/>
    <w:rsid w:val="00D74227"/>
    <w:rsid w:val="00D75561"/>
    <w:rsid w:val="00D755EE"/>
    <w:rsid w:val="00D80D69"/>
    <w:rsid w:val="00D81151"/>
    <w:rsid w:val="00D83793"/>
    <w:rsid w:val="00D83E45"/>
    <w:rsid w:val="00D90058"/>
    <w:rsid w:val="00D9033D"/>
    <w:rsid w:val="00D90607"/>
    <w:rsid w:val="00D9131A"/>
    <w:rsid w:val="00D9459A"/>
    <w:rsid w:val="00DA02AA"/>
    <w:rsid w:val="00DA03BD"/>
    <w:rsid w:val="00DA124B"/>
    <w:rsid w:val="00DA1C3E"/>
    <w:rsid w:val="00DA2A70"/>
    <w:rsid w:val="00DB06B9"/>
    <w:rsid w:val="00DB0840"/>
    <w:rsid w:val="00DB0EB3"/>
    <w:rsid w:val="00DB16CB"/>
    <w:rsid w:val="00DB1E0C"/>
    <w:rsid w:val="00DB3F38"/>
    <w:rsid w:val="00DB4EF2"/>
    <w:rsid w:val="00DB5917"/>
    <w:rsid w:val="00DB5E80"/>
    <w:rsid w:val="00DC21C9"/>
    <w:rsid w:val="00DC24B6"/>
    <w:rsid w:val="00DC4985"/>
    <w:rsid w:val="00DC50D4"/>
    <w:rsid w:val="00DC7C64"/>
    <w:rsid w:val="00DD03A0"/>
    <w:rsid w:val="00DD03AA"/>
    <w:rsid w:val="00DD08B2"/>
    <w:rsid w:val="00DD1375"/>
    <w:rsid w:val="00DD330D"/>
    <w:rsid w:val="00DD3F44"/>
    <w:rsid w:val="00DD6408"/>
    <w:rsid w:val="00DE3B5E"/>
    <w:rsid w:val="00DE3E3A"/>
    <w:rsid w:val="00DE59A5"/>
    <w:rsid w:val="00DF0285"/>
    <w:rsid w:val="00DF02B4"/>
    <w:rsid w:val="00DF0F4A"/>
    <w:rsid w:val="00DF21D0"/>
    <w:rsid w:val="00DF30F3"/>
    <w:rsid w:val="00DF5449"/>
    <w:rsid w:val="00E018DD"/>
    <w:rsid w:val="00E02D95"/>
    <w:rsid w:val="00E04C0A"/>
    <w:rsid w:val="00E054BB"/>
    <w:rsid w:val="00E057DD"/>
    <w:rsid w:val="00E06BCD"/>
    <w:rsid w:val="00E06D28"/>
    <w:rsid w:val="00E1043F"/>
    <w:rsid w:val="00E14478"/>
    <w:rsid w:val="00E14F25"/>
    <w:rsid w:val="00E162E1"/>
    <w:rsid w:val="00E21416"/>
    <w:rsid w:val="00E226A8"/>
    <w:rsid w:val="00E22AF7"/>
    <w:rsid w:val="00E249DD"/>
    <w:rsid w:val="00E25C22"/>
    <w:rsid w:val="00E266ED"/>
    <w:rsid w:val="00E34DED"/>
    <w:rsid w:val="00E4017A"/>
    <w:rsid w:val="00E418C2"/>
    <w:rsid w:val="00E43C54"/>
    <w:rsid w:val="00E43D51"/>
    <w:rsid w:val="00E44DF4"/>
    <w:rsid w:val="00E4503E"/>
    <w:rsid w:val="00E4537A"/>
    <w:rsid w:val="00E46913"/>
    <w:rsid w:val="00E51235"/>
    <w:rsid w:val="00E53293"/>
    <w:rsid w:val="00E5439E"/>
    <w:rsid w:val="00E55267"/>
    <w:rsid w:val="00E55683"/>
    <w:rsid w:val="00E562A7"/>
    <w:rsid w:val="00E62010"/>
    <w:rsid w:val="00E62DE9"/>
    <w:rsid w:val="00E661E5"/>
    <w:rsid w:val="00E7021D"/>
    <w:rsid w:val="00E70E23"/>
    <w:rsid w:val="00E75011"/>
    <w:rsid w:val="00E7729E"/>
    <w:rsid w:val="00E81BAB"/>
    <w:rsid w:val="00E82661"/>
    <w:rsid w:val="00E840FE"/>
    <w:rsid w:val="00E8697A"/>
    <w:rsid w:val="00E918E4"/>
    <w:rsid w:val="00EA08F0"/>
    <w:rsid w:val="00EA3769"/>
    <w:rsid w:val="00EA43AF"/>
    <w:rsid w:val="00EA4F01"/>
    <w:rsid w:val="00EA6C2C"/>
    <w:rsid w:val="00EA7BFB"/>
    <w:rsid w:val="00EB24D4"/>
    <w:rsid w:val="00EB2B0E"/>
    <w:rsid w:val="00EB3012"/>
    <w:rsid w:val="00EB31CF"/>
    <w:rsid w:val="00EB3FC3"/>
    <w:rsid w:val="00EB4548"/>
    <w:rsid w:val="00EB5201"/>
    <w:rsid w:val="00EB5CE1"/>
    <w:rsid w:val="00EB7C6A"/>
    <w:rsid w:val="00EC0CF1"/>
    <w:rsid w:val="00EC16CD"/>
    <w:rsid w:val="00EC1A48"/>
    <w:rsid w:val="00EC1D55"/>
    <w:rsid w:val="00EC59A6"/>
    <w:rsid w:val="00EC6033"/>
    <w:rsid w:val="00ED1401"/>
    <w:rsid w:val="00ED2413"/>
    <w:rsid w:val="00EE00AA"/>
    <w:rsid w:val="00EE02CB"/>
    <w:rsid w:val="00EE0373"/>
    <w:rsid w:val="00EE2502"/>
    <w:rsid w:val="00EE2883"/>
    <w:rsid w:val="00EE2CAA"/>
    <w:rsid w:val="00EE75C5"/>
    <w:rsid w:val="00EE782D"/>
    <w:rsid w:val="00EF0509"/>
    <w:rsid w:val="00EF1474"/>
    <w:rsid w:val="00EF207D"/>
    <w:rsid w:val="00EF267D"/>
    <w:rsid w:val="00EF2BF9"/>
    <w:rsid w:val="00EF5215"/>
    <w:rsid w:val="00EF6771"/>
    <w:rsid w:val="00EF6F92"/>
    <w:rsid w:val="00EF78A3"/>
    <w:rsid w:val="00F00F79"/>
    <w:rsid w:val="00F01116"/>
    <w:rsid w:val="00F0757A"/>
    <w:rsid w:val="00F0759D"/>
    <w:rsid w:val="00F0759E"/>
    <w:rsid w:val="00F14C0F"/>
    <w:rsid w:val="00F1740D"/>
    <w:rsid w:val="00F207F8"/>
    <w:rsid w:val="00F21109"/>
    <w:rsid w:val="00F232D0"/>
    <w:rsid w:val="00F25B68"/>
    <w:rsid w:val="00F2695D"/>
    <w:rsid w:val="00F31FC5"/>
    <w:rsid w:val="00F3297D"/>
    <w:rsid w:val="00F334C8"/>
    <w:rsid w:val="00F35E1F"/>
    <w:rsid w:val="00F362E9"/>
    <w:rsid w:val="00F400E7"/>
    <w:rsid w:val="00F41A6D"/>
    <w:rsid w:val="00F41F46"/>
    <w:rsid w:val="00F42BE4"/>
    <w:rsid w:val="00F432E6"/>
    <w:rsid w:val="00F465BC"/>
    <w:rsid w:val="00F54F5F"/>
    <w:rsid w:val="00F55223"/>
    <w:rsid w:val="00F56A85"/>
    <w:rsid w:val="00F57D6D"/>
    <w:rsid w:val="00F60002"/>
    <w:rsid w:val="00F604D7"/>
    <w:rsid w:val="00F615F6"/>
    <w:rsid w:val="00F64B14"/>
    <w:rsid w:val="00F67C52"/>
    <w:rsid w:val="00F7043F"/>
    <w:rsid w:val="00F7106F"/>
    <w:rsid w:val="00F7625D"/>
    <w:rsid w:val="00F77B7C"/>
    <w:rsid w:val="00F82B40"/>
    <w:rsid w:val="00F83EA2"/>
    <w:rsid w:val="00F87799"/>
    <w:rsid w:val="00F94F7B"/>
    <w:rsid w:val="00FA19C1"/>
    <w:rsid w:val="00FA2423"/>
    <w:rsid w:val="00FA5956"/>
    <w:rsid w:val="00FA65C3"/>
    <w:rsid w:val="00FA7B50"/>
    <w:rsid w:val="00FB0C32"/>
    <w:rsid w:val="00FB0C3D"/>
    <w:rsid w:val="00FB160E"/>
    <w:rsid w:val="00FB1D79"/>
    <w:rsid w:val="00FB231C"/>
    <w:rsid w:val="00FB249F"/>
    <w:rsid w:val="00FB2894"/>
    <w:rsid w:val="00FB3328"/>
    <w:rsid w:val="00FB4A7F"/>
    <w:rsid w:val="00FB56EA"/>
    <w:rsid w:val="00FB6127"/>
    <w:rsid w:val="00FB6ABE"/>
    <w:rsid w:val="00FB7655"/>
    <w:rsid w:val="00FB77CE"/>
    <w:rsid w:val="00FB7925"/>
    <w:rsid w:val="00FC3C2B"/>
    <w:rsid w:val="00FC5B0F"/>
    <w:rsid w:val="00FD17D1"/>
    <w:rsid w:val="00FD1E0E"/>
    <w:rsid w:val="00FD2220"/>
    <w:rsid w:val="00FD22FD"/>
    <w:rsid w:val="00FD2971"/>
    <w:rsid w:val="00FD6A7D"/>
    <w:rsid w:val="00FD6CE9"/>
    <w:rsid w:val="00FD76F6"/>
    <w:rsid w:val="00FE0D5A"/>
    <w:rsid w:val="00FE3E50"/>
    <w:rsid w:val="00FE461F"/>
    <w:rsid w:val="00FE4B17"/>
    <w:rsid w:val="00FE5F93"/>
    <w:rsid w:val="00FE7597"/>
    <w:rsid w:val="00FE7A8B"/>
    <w:rsid w:val="00FF08F2"/>
    <w:rsid w:val="00FF2B6D"/>
    <w:rsid w:val="00FF5F84"/>
    <w:rsid w:val="013A2911"/>
    <w:rsid w:val="018D2CDE"/>
    <w:rsid w:val="01B66CF8"/>
    <w:rsid w:val="02237153"/>
    <w:rsid w:val="02435EE5"/>
    <w:rsid w:val="026A757E"/>
    <w:rsid w:val="028D37FB"/>
    <w:rsid w:val="02904283"/>
    <w:rsid w:val="02C3653C"/>
    <w:rsid w:val="02DD2615"/>
    <w:rsid w:val="03005F32"/>
    <w:rsid w:val="030D40D0"/>
    <w:rsid w:val="031E7295"/>
    <w:rsid w:val="03343341"/>
    <w:rsid w:val="03914799"/>
    <w:rsid w:val="03AD4A6D"/>
    <w:rsid w:val="04220EB1"/>
    <w:rsid w:val="04226A84"/>
    <w:rsid w:val="04371027"/>
    <w:rsid w:val="04A3318B"/>
    <w:rsid w:val="04C64E02"/>
    <w:rsid w:val="0503641B"/>
    <w:rsid w:val="05C2125A"/>
    <w:rsid w:val="05E67615"/>
    <w:rsid w:val="05FA5D1E"/>
    <w:rsid w:val="0605178D"/>
    <w:rsid w:val="06236F09"/>
    <w:rsid w:val="064D0C7B"/>
    <w:rsid w:val="066F4A33"/>
    <w:rsid w:val="06EA2838"/>
    <w:rsid w:val="06F6204B"/>
    <w:rsid w:val="072E4129"/>
    <w:rsid w:val="075925E6"/>
    <w:rsid w:val="07992F5A"/>
    <w:rsid w:val="07BB7068"/>
    <w:rsid w:val="07F4712B"/>
    <w:rsid w:val="080A3FCD"/>
    <w:rsid w:val="0827239F"/>
    <w:rsid w:val="083D5237"/>
    <w:rsid w:val="084142D3"/>
    <w:rsid w:val="08537854"/>
    <w:rsid w:val="08675B42"/>
    <w:rsid w:val="08C13A16"/>
    <w:rsid w:val="09680BBB"/>
    <w:rsid w:val="0A132998"/>
    <w:rsid w:val="0AD3407A"/>
    <w:rsid w:val="0AE07D73"/>
    <w:rsid w:val="0B0F058C"/>
    <w:rsid w:val="0B1D4B9F"/>
    <w:rsid w:val="0BBC2399"/>
    <w:rsid w:val="0BCB2FE9"/>
    <w:rsid w:val="0BCF27F9"/>
    <w:rsid w:val="0C81081E"/>
    <w:rsid w:val="0C8D26EF"/>
    <w:rsid w:val="0CBB0DCD"/>
    <w:rsid w:val="0CC61161"/>
    <w:rsid w:val="0D936180"/>
    <w:rsid w:val="0D97210F"/>
    <w:rsid w:val="0E2F2616"/>
    <w:rsid w:val="0E920773"/>
    <w:rsid w:val="0E9E7E62"/>
    <w:rsid w:val="0F075B3D"/>
    <w:rsid w:val="0FEE7B63"/>
    <w:rsid w:val="0FF90584"/>
    <w:rsid w:val="10C860A5"/>
    <w:rsid w:val="10DA54EB"/>
    <w:rsid w:val="11105BCB"/>
    <w:rsid w:val="11D27DC5"/>
    <w:rsid w:val="11D6694D"/>
    <w:rsid w:val="11D72E84"/>
    <w:rsid w:val="11FF3BA3"/>
    <w:rsid w:val="12097EEB"/>
    <w:rsid w:val="12F521C1"/>
    <w:rsid w:val="13062350"/>
    <w:rsid w:val="137551BA"/>
    <w:rsid w:val="138253F3"/>
    <w:rsid w:val="13E90E7D"/>
    <w:rsid w:val="13F803B8"/>
    <w:rsid w:val="14004250"/>
    <w:rsid w:val="14416580"/>
    <w:rsid w:val="149B346D"/>
    <w:rsid w:val="149D2C0B"/>
    <w:rsid w:val="14FF3D3A"/>
    <w:rsid w:val="15AA3842"/>
    <w:rsid w:val="15B21392"/>
    <w:rsid w:val="16251A7B"/>
    <w:rsid w:val="16DB572C"/>
    <w:rsid w:val="16FE1415"/>
    <w:rsid w:val="172C29D4"/>
    <w:rsid w:val="17564E9E"/>
    <w:rsid w:val="178E3F62"/>
    <w:rsid w:val="179A11D6"/>
    <w:rsid w:val="17C22491"/>
    <w:rsid w:val="187278CB"/>
    <w:rsid w:val="19154E02"/>
    <w:rsid w:val="194075FE"/>
    <w:rsid w:val="19951B5B"/>
    <w:rsid w:val="19F84C38"/>
    <w:rsid w:val="1A202DC3"/>
    <w:rsid w:val="1A595C8F"/>
    <w:rsid w:val="1A5D6431"/>
    <w:rsid w:val="1AAD1ACB"/>
    <w:rsid w:val="1B0C1623"/>
    <w:rsid w:val="1B326183"/>
    <w:rsid w:val="1B3D734C"/>
    <w:rsid w:val="1B447FB2"/>
    <w:rsid w:val="1B85705F"/>
    <w:rsid w:val="1BC00537"/>
    <w:rsid w:val="1BD838BE"/>
    <w:rsid w:val="1C433887"/>
    <w:rsid w:val="1C63352B"/>
    <w:rsid w:val="1CAC66F9"/>
    <w:rsid w:val="1CC31220"/>
    <w:rsid w:val="1CD1668F"/>
    <w:rsid w:val="1CD24564"/>
    <w:rsid w:val="1CDF509E"/>
    <w:rsid w:val="1D37508A"/>
    <w:rsid w:val="1D833AD0"/>
    <w:rsid w:val="1DA7769E"/>
    <w:rsid w:val="1DB54E36"/>
    <w:rsid w:val="1E26544F"/>
    <w:rsid w:val="1EDF0E4F"/>
    <w:rsid w:val="1EF20C24"/>
    <w:rsid w:val="1EFA27BD"/>
    <w:rsid w:val="1F7A021E"/>
    <w:rsid w:val="1FAB1086"/>
    <w:rsid w:val="1FE923CA"/>
    <w:rsid w:val="1FF36C63"/>
    <w:rsid w:val="20794362"/>
    <w:rsid w:val="20A94838"/>
    <w:rsid w:val="20C95856"/>
    <w:rsid w:val="21A878A2"/>
    <w:rsid w:val="21B80284"/>
    <w:rsid w:val="21C60C94"/>
    <w:rsid w:val="21CD55B9"/>
    <w:rsid w:val="22083A05"/>
    <w:rsid w:val="22096CA7"/>
    <w:rsid w:val="22346904"/>
    <w:rsid w:val="22AD1BC8"/>
    <w:rsid w:val="23350755"/>
    <w:rsid w:val="23414E98"/>
    <w:rsid w:val="234D01CE"/>
    <w:rsid w:val="23557D99"/>
    <w:rsid w:val="237B467C"/>
    <w:rsid w:val="23B61459"/>
    <w:rsid w:val="24844D27"/>
    <w:rsid w:val="24AB572A"/>
    <w:rsid w:val="24C1538F"/>
    <w:rsid w:val="24E446E9"/>
    <w:rsid w:val="24FF4E38"/>
    <w:rsid w:val="25450769"/>
    <w:rsid w:val="257B287A"/>
    <w:rsid w:val="2588173A"/>
    <w:rsid w:val="25C73B3B"/>
    <w:rsid w:val="25D9362D"/>
    <w:rsid w:val="25EA26C1"/>
    <w:rsid w:val="26005B04"/>
    <w:rsid w:val="27337794"/>
    <w:rsid w:val="27EE1B5B"/>
    <w:rsid w:val="282E5EC3"/>
    <w:rsid w:val="28525986"/>
    <w:rsid w:val="285B60A9"/>
    <w:rsid w:val="28652863"/>
    <w:rsid w:val="288A5D4C"/>
    <w:rsid w:val="28DD25E0"/>
    <w:rsid w:val="28FF1F96"/>
    <w:rsid w:val="296B2D17"/>
    <w:rsid w:val="29973DBD"/>
    <w:rsid w:val="29DC5247"/>
    <w:rsid w:val="2A300BD2"/>
    <w:rsid w:val="2B6644AD"/>
    <w:rsid w:val="2BB22A8A"/>
    <w:rsid w:val="2BCC00C1"/>
    <w:rsid w:val="2BEC617B"/>
    <w:rsid w:val="2C837CC5"/>
    <w:rsid w:val="2D0E6475"/>
    <w:rsid w:val="2DB24AA4"/>
    <w:rsid w:val="2E4F5666"/>
    <w:rsid w:val="2EE64F31"/>
    <w:rsid w:val="2F421151"/>
    <w:rsid w:val="2F747280"/>
    <w:rsid w:val="3028561B"/>
    <w:rsid w:val="30561973"/>
    <w:rsid w:val="308D49A4"/>
    <w:rsid w:val="30917E27"/>
    <w:rsid w:val="30F636CE"/>
    <w:rsid w:val="31171833"/>
    <w:rsid w:val="31276540"/>
    <w:rsid w:val="31696698"/>
    <w:rsid w:val="3176218B"/>
    <w:rsid w:val="31A352EC"/>
    <w:rsid w:val="32AD43B0"/>
    <w:rsid w:val="33000A2E"/>
    <w:rsid w:val="331D4D45"/>
    <w:rsid w:val="338B10AE"/>
    <w:rsid w:val="34626DAE"/>
    <w:rsid w:val="34AF42A0"/>
    <w:rsid w:val="34F21765"/>
    <w:rsid w:val="34FC005B"/>
    <w:rsid w:val="350B05E4"/>
    <w:rsid w:val="359B5634"/>
    <w:rsid w:val="35DA7390"/>
    <w:rsid w:val="35DD5BE8"/>
    <w:rsid w:val="3681148B"/>
    <w:rsid w:val="36A646A7"/>
    <w:rsid w:val="37736B91"/>
    <w:rsid w:val="378A2713"/>
    <w:rsid w:val="37D24CA4"/>
    <w:rsid w:val="38A05148"/>
    <w:rsid w:val="38BC174F"/>
    <w:rsid w:val="38CC4424"/>
    <w:rsid w:val="38F77026"/>
    <w:rsid w:val="390B3BAD"/>
    <w:rsid w:val="39353570"/>
    <w:rsid w:val="395E1841"/>
    <w:rsid w:val="399E74AF"/>
    <w:rsid w:val="3AB62979"/>
    <w:rsid w:val="3ACF2DFF"/>
    <w:rsid w:val="3B1E2C92"/>
    <w:rsid w:val="3BA0021C"/>
    <w:rsid w:val="3BB4504B"/>
    <w:rsid w:val="3C0B4EF4"/>
    <w:rsid w:val="3C156AA2"/>
    <w:rsid w:val="3CB46C36"/>
    <w:rsid w:val="3D680DBB"/>
    <w:rsid w:val="3DA72868"/>
    <w:rsid w:val="3E8E06D6"/>
    <w:rsid w:val="3EC576AD"/>
    <w:rsid w:val="3ED50494"/>
    <w:rsid w:val="3FAC2834"/>
    <w:rsid w:val="401B4FDE"/>
    <w:rsid w:val="40A94D33"/>
    <w:rsid w:val="40B01A65"/>
    <w:rsid w:val="40BA7418"/>
    <w:rsid w:val="40C1059D"/>
    <w:rsid w:val="410D3985"/>
    <w:rsid w:val="411C2F72"/>
    <w:rsid w:val="41870684"/>
    <w:rsid w:val="4196177A"/>
    <w:rsid w:val="41D509D6"/>
    <w:rsid w:val="429B3FB2"/>
    <w:rsid w:val="430F7D93"/>
    <w:rsid w:val="43265537"/>
    <w:rsid w:val="433656A7"/>
    <w:rsid w:val="4364761E"/>
    <w:rsid w:val="4378508A"/>
    <w:rsid w:val="439F1B0D"/>
    <w:rsid w:val="43BA1751"/>
    <w:rsid w:val="43BF4487"/>
    <w:rsid w:val="442E4951"/>
    <w:rsid w:val="44604933"/>
    <w:rsid w:val="44714AFB"/>
    <w:rsid w:val="44796AC2"/>
    <w:rsid w:val="44FD15D2"/>
    <w:rsid w:val="453B32A8"/>
    <w:rsid w:val="454E77EE"/>
    <w:rsid w:val="456D7986"/>
    <w:rsid w:val="461F3EBE"/>
    <w:rsid w:val="464E73A4"/>
    <w:rsid w:val="4684492B"/>
    <w:rsid w:val="46885010"/>
    <w:rsid w:val="4699558B"/>
    <w:rsid w:val="469E548C"/>
    <w:rsid w:val="46AD6854"/>
    <w:rsid w:val="47CB3E36"/>
    <w:rsid w:val="47F61B67"/>
    <w:rsid w:val="488A744B"/>
    <w:rsid w:val="49BF4571"/>
    <w:rsid w:val="4A365D92"/>
    <w:rsid w:val="4A515382"/>
    <w:rsid w:val="4A8B7951"/>
    <w:rsid w:val="4AEF427C"/>
    <w:rsid w:val="4BB23BBB"/>
    <w:rsid w:val="4BB42B60"/>
    <w:rsid w:val="4C4614BD"/>
    <w:rsid w:val="4CEF26B4"/>
    <w:rsid w:val="4D1B4648"/>
    <w:rsid w:val="4D6F59A6"/>
    <w:rsid w:val="4DCA5C65"/>
    <w:rsid w:val="4E231736"/>
    <w:rsid w:val="4E27013D"/>
    <w:rsid w:val="4E9354A6"/>
    <w:rsid w:val="4F0F2447"/>
    <w:rsid w:val="4F217F9B"/>
    <w:rsid w:val="4F502655"/>
    <w:rsid w:val="4F505B88"/>
    <w:rsid w:val="4F604D34"/>
    <w:rsid w:val="50443630"/>
    <w:rsid w:val="504C3368"/>
    <w:rsid w:val="506D06F0"/>
    <w:rsid w:val="5126460E"/>
    <w:rsid w:val="51936115"/>
    <w:rsid w:val="51D6626D"/>
    <w:rsid w:val="521E7F95"/>
    <w:rsid w:val="523E4376"/>
    <w:rsid w:val="52400863"/>
    <w:rsid w:val="525853E7"/>
    <w:rsid w:val="52B20682"/>
    <w:rsid w:val="532606DF"/>
    <w:rsid w:val="53874908"/>
    <w:rsid w:val="53C564F0"/>
    <w:rsid w:val="53D123DC"/>
    <w:rsid w:val="540D40C4"/>
    <w:rsid w:val="545C5D5F"/>
    <w:rsid w:val="54793793"/>
    <w:rsid w:val="54B57CF7"/>
    <w:rsid w:val="54B946F7"/>
    <w:rsid w:val="54EB63CD"/>
    <w:rsid w:val="55384DC6"/>
    <w:rsid w:val="557E11BB"/>
    <w:rsid w:val="56C647B3"/>
    <w:rsid w:val="56EF5D14"/>
    <w:rsid w:val="572B04AD"/>
    <w:rsid w:val="573B36AB"/>
    <w:rsid w:val="57DF501C"/>
    <w:rsid w:val="58096E6F"/>
    <w:rsid w:val="588E67BC"/>
    <w:rsid w:val="593F11BA"/>
    <w:rsid w:val="59B72D27"/>
    <w:rsid w:val="59C04459"/>
    <w:rsid w:val="59F11840"/>
    <w:rsid w:val="5A112723"/>
    <w:rsid w:val="5A246D39"/>
    <w:rsid w:val="5A2D6255"/>
    <w:rsid w:val="5A344C5B"/>
    <w:rsid w:val="5A404F42"/>
    <w:rsid w:val="5A4910FB"/>
    <w:rsid w:val="5A586E6E"/>
    <w:rsid w:val="5A751744"/>
    <w:rsid w:val="5AC2653B"/>
    <w:rsid w:val="5AE747C3"/>
    <w:rsid w:val="5B0F786F"/>
    <w:rsid w:val="5B3E0ACF"/>
    <w:rsid w:val="5B774E71"/>
    <w:rsid w:val="5B86479E"/>
    <w:rsid w:val="5B9E6027"/>
    <w:rsid w:val="5BA23B0C"/>
    <w:rsid w:val="5C0B3189"/>
    <w:rsid w:val="5C0E651B"/>
    <w:rsid w:val="5CEE166A"/>
    <w:rsid w:val="5CF852ED"/>
    <w:rsid w:val="5CFF5879"/>
    <w:rsid w:val="5D2B4BB7"/>
    <w:rsid w:val="5D4930BF"/>
    <w:rsid w:val="5D8A4F8E"/>
    <w:rsid w:val="5E1D09B1"/>
    <w:rsid w:val="5E42737D"/>
    <w:rsid w:val="5E43257A"/>
    <w:rsid w:val="5E6C2D25"/>
    <w:rsid w:val="5E984F4E"/>
    <w:rsid w:val="5ED64302"/>
    <w:rsid w:val="5EE0506F"/>
    <w:rsid w:val="5F0425D8"/>
    <w:rsid w:val="5F527907"/>
    <w:rsid w:val="5F63338A"/>
    <w:rsid w:val="5F6A70D2"/>
    <w:rsid w:val="5F9472E7"/>
    <w:rsid w:val="5F9E5A83"/>
    <w:rsid w:val="600A602E"/>
    <w:rsid w:val="603F2C9B"/>
    <w:rsid w:val="60527107"/>
    <w:rsid w:val="60B55130"/>
    <w:rsid w:val="61171764"/>
    <w:rsid w:val="611C403B"/>
    <w:rsid w:val="612F7E3B"/>
    <w:rsid w:val="61AA735E"/>
    <w:rsid w:val="621A3574"/>
    <w:rsid w:val="62B07DCA"/>
    <w:rsid w:val="62B97337"/>
    <w:rsid w:val="62D553C8"/>
    <w:rsid w:val="62E01977"/>
    <w:rsid w:val="62E95975"/>
    <w:rsid w:val="62F507BA"/>
    <w:rsid w:val="630A3B65"/>
    <w:rsid w:val="63207A06"/>
    <w:rsid w:val="63B90E55"/>
    <w:rsid w:val="63D262A7"/>
    <w:rsid w:val="64643702"/>
    <w:rsid w:val="64B03B59"/>
    <w:rsid w:val="64E06A1A"/>
    <w:rsid w:val="64E351D7"/>
    <w:rsid w:val="6537655B"/>
    <w:rsid w:val="654A1320"/>
    <w:rsid w:val="65681D1D"/>
    <w:rsid w:val="65D331FF"/>
    <w:rsid w:val="668C02C9"/>
    <w:rsid w:val="66A8173D"/>
    <w:rsid w:val="66CF4A15"/>
    <w:rsid w:val="66F50CAA"/>
    <w:rsid w:val="67194E2F"/>
    <w:rsid w:val="676A6A91"/>
    <w:rsid w:val="67784575"/>
    <w:rsid w:val="67E8480C"/>
    <w:rsid w:val="68171E00"/>
    <w:rsid w:val="68910E56"/>
    <w:rsid w:val="68AB1D64"/>
    <w:rsid w:val="68BA4929"/>
    <w:rsid w:val="68DB4B77"/>
    <w:rsid w:val="694920FB"/>
    <w:rsid w:val="69C223F9"/>
    <w:rsid w:val="69DD1477"/>
    <w:rsid w:val="6A3833A6"/>
    <w:rsid w:val="6A6F5EEB"/>
    <w:rsid w:val="6AE00BC1"/>
    <w:rsid w:val="6B23238E"/>
    <w:rsid w:val="6B38463A"/>
    <w:rsid w:val="6B8148DE"/>
    <w:rsid w:val="6C461D15"/>
    <w:rsid w:val="6C7B529C"/>
    <w:rsid w:val="6C991530"/>
    <w:rsid w:val="6CA84F28"/>
    <w:rsid w:val="6CAC6D99"/>
    <w:rsid w:val="6CC3543E"/>
    <w:rsid w:val="6CDC3B2B"/>
    <w:rsid w:val="6D2F3BBD"/>
    <w:rsid w:val="6D7B7A66"/>
    <w:rsid w:val="6D905698"/>
    <w:rsid w:val="6DA61A64"/>
    <w:rsid w:val="6DBD0949"/>
    <w:rsid w:val="6E1603CB"/>
    <w:rsid w:val="6E2D0DE8"/>
    <w:rsid w:val="6E84034D"/>
    <w:rsid w:val="6E950432"/>
    <w:rsid w:val="6EFF062B"/>
    <w:rsid w:val="6F1E0D5A"/>
    <w:rsid w:val="6F2E04E4"/>
    <w:rsid w:val="6FA12229"/>
    <w:rsid w:val="6FC22B46"/>
    <w:rsid w:val="6FDC7143"/>
    <w:rsid w:val="6FE45653"/>
    <w:rsid w:val="70554341"/>
    <w:rsid w:val="7089404F"/>
    <w:rsid w:val="719D793C"/>
    <w:rsid w:val="71BC5F4C"/>
    <w:rsid w:val="71D42690"/>
    <w:rsid w:val="71FE35D0"/>
    <w:rsid w:val="72A14E33"/>
    <w:rsid w:val="73710DE8"/>
    <w:rsid w:val="738B6ECD"/>
    <w:rsid w:val="73C16370"/>
    <w:rsid w:val="740D39D4"/>
    <w:rsid w:val="74183D26"/>
    <w:rsid w:val="742A1457"/>
    <w:rsid w:val="743069D9"/>
    <w:rsid w:val="74351BD0"/>
    <w:rsid w:val="748023E1"/>
    <w:rsid w:val="749D7B69"/>
    <w:rsid w:val="75652953"/>
    <w:rsid w:val="75934016"/>
    <w:rsid w:val="759A3D4C"/>
    <w:rsid w:val="75CB0ECB"/>
    <w:rsid w:val="75E7418D"/>
    <w:rsid w:val="76071FAE"/>
    <w:rsid w:val="76131444"/>
    <w:rsid w:val="762A7C7A"/>
    <w:rsid w:val="76645525"/>
    <w:rsid w:val="76CF2ABB"/>
    <w:rsid w:val="7725084D"/>
    <w:rsid w:val="773B151D"/>
    <w:rsid w:val="778160D8"/>
    <w:rsid w:val="780A14FB"/>
    <w:rsid w:val="78413F3B"/>
    <w:rsid w:val="7875223D"/>
    <w:rsid w:val="793A7663"/>
    <w:rsid w:val="799F2BDF"/>
    <w:rsid w:val="79B07D84"/>
    <w:rsid w:val="79C54F96"/>
    <w:rsid w:val="7A1816D7"/>
    <w:rsid w:val="7A7F1552"/>
    <w:rsid w:val="7A8F2184"/>
    <w:rsid w:val="7AB279F2"/>
    <w:rsid w:val="7AB561B9"/>
    <w:rsid w:val="7B3159C3"/>
    <w:rsid w:val="7B7873A1"/>
    <w:rsid w:val="7C403B9E"/>
    <w:rsid w:val="7C5D3006"/>
    <w:rsid w:val="7C993F7F"/>
    <w:rsid w:val="7CBE27BE"/>
    <w:rsid w:val="7CC5604D"/>
    <w:rsid w:val="7CD3558A"/>
    <w:rsid w:val="7CE27CFF"/>
    <w:rsid w:val="7D9F149E"/>
    <w:rsid w:val="7DA263F1"/>
    <w:rsid w:val="7DD34743"/>
    <w:rsid w:val="7DE96801"/>
    <w:rsid w:val="7DF12D8F"/>
    <w:rsid w:val="7E14633A"/>
    <w:rsid w:val="7E8F6CAE"/>
    <w:rsid w:val="7F0167D8"/>
    <w:rsid w:val="7F857CDD"/>
    <w:rsid w:val="7F8F3199"/>
    <w:rsid w:val="7FD465F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5">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ody Text"/>
    <w:basedOn w:val="1"/>
    <w:qFormat/>
    <w:uiPriority w:val="99"/>
    <w:pPr>
      <w:spacing w:after="120"/>
    </w:pPr>
  </w:style>
  <w:style w:type="paragraph" w:styleId="4">
    <w:name w:val="Body Text Indent"/>
    <w:basedOn w:val="1"/>
    <w:qFormat/>
    <w:uiPriority w:val="0"/>
    <w:pPr>
      <w:ind w:firstLine="576"/>
    </w:pPr>
    <w:rPr>
      <w:rFonts w:ascii="仿宋_GB2312" w:eastAsia="仿宋_GB2312"/>
      <w:sz w:val="28"/>
      <w:szCs w:val="24"/>
    </w:rPr>
  </w:style>
  <w:style w:type="paragraph" w:styleId="5">
    <w:name w:val="Plain Text"/>
    <w:basedOn w:val="1"/>
    <w:link w:val="19"/>
    <w:qFormat/>
    <w:uiPriority w:val="99"/>
    <w:rPr>
      <w:rFonts w:ascii="宋体" w:hAnsi="Courier New"/>
    </w:rPr>
  </w:style>
  <w:style w:type="paragraph" w:styleId="6">
    <w:name w:val="Date"/>
    <w:basedOn w:val="1"/>
    <w:next w:val="1"/>
    <w:qFormat/>
    <w:uiPriority w:val="0"/>
    <w:pPr>
      <w:adjustRightInd w:val="0"/>
      <w:spacing w:line="312" w:lineRule="atLeast"/>
      <w:jc w:val="right"/>
      <w:textAlignment w:val="baseline"/>
    </w:pPr>
    <w:rPr>
      <w:kern w:val="0"/>
    </w:rPr>
  </w:style>
  <w:style w:type="paragraph" w:styleId="7">
    <w:name w:val="Balloon Text"/>
    <w:basedOn w:val="1"/>
    <w:semiHidden/>
    <w:qFormat/>
    <w:uiPriority w:val="0"/>
    <w:rPr>
      <w:sz w:val="18"/>
      <w:szCs w:val="18"/>
    </w:r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2"/>
    <w:next w:val="2"/>
    <w:link w:val="22"/>
    <w:qFormat/>
    <w:uiPriority w:val="0"/>
    <w:rPr>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4">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16">
    <w:name w:val="Hyperlink"/>
    <w:qFormat/>
    <w:uiPriority w:val="0"/>
    <w:rPr>
      <w:color w:val="0000FF"/>
      <w:u w:val="single"/>
    </w:rPr>
  </w:style>
  <w:style w:type="character" w:styleId="17">
    <w:name w:val="annotation reference"/>
    <w:qFormat/>
    <w:uiPriority w:val="0"/>
    <w:rPr>
      <w:sz w:val="21"/>
      <w:szCs w:val="21"/>
    </w:rPr>
  </w:style>
  <w:style w:type="character" w:customStyle="1" w:styleId="18">
    <w:name w:val="批注文字 Char"/>
    <w:link w:val="2"/>
    <w:qFormat/>
    <w:uiPriority w:val="0"/>
    <w:rPr>
      <w:kern w:val="2"/>
      <w:sz w:val="21"/>
    </w:rPr>
  </w:style>
  <w:style w:type="character" w:customStyle="1" w:styleId="19">
    <w:name w:val="纯文本 Char"/>
    <w:link w:val="5"/>
    <w:qFormat/>
    <w:uiPriority w:val="99"/>
    <w:rPr>
      <w:rFonts w:ascii="宋体" w:hAnsi="Courier New"/>
      <w:kern w:val="2"/>
      <w:sz w:val="21"/>
    </w:rPr>
  </w:style>
  <w:style w:type="character" w:customStyle="1" w:styleId="20">
    <w:name w:val="页脚 Char"/>
    <w:link w:val="8"/>
    <w:qFormat/>
    <w:uiPriority w:val="0"/>
    <w:rPr>
      <w:kern w:val="2"/>
      <w:sz w:val="18"/>
      <w:szCs w:val="18"/>
    </w:rPr>
  </w:style>
  <w:style w:type="character" w:customStyle="1" w:styleId="21">
    <w:name w:val="页眉 Char"/>
    <w:link w:val="9"/>
    <w:qFormat/>
    <w:uiPriority w:val="0"/>
    <w:rPr>
      <w:kern w:val="2"/>
      <w:sz w:val="18"/>
      <w:szCs w:val="18"/>
    </w:rPr>
  </w:style>
  <w:style w:type="character" w:customStyle="1" w:styleId="22">
    <w:name w:val="批注主题 Char"/>
    <w:link w:val="11"/>
    <w:qFormat/>
    <w:uiPriority w:val="0"/>
    <w:rPr>
      <w:b/>
      <w:bCs/>
      <w:kern w:val="2"/>
      <w:sz w:val="21"/>
    </w:rPr>
  </w:style>
  <w:style w:type="paragraph" w:customStyle="1" w:styleId="23">
    <w:name w:val="CM3"/>
    <w:basedOn w:val="1"/>
    <w:next w:val="1"/>
    <w:qFormat/>
    <w:uiPriority w:val="0"/>
    <w:pPr>
      <w:autoSpaceDE w:val="0"/>
      <w:autoSpaceDN w:val="0"/>
      <w:adjustRightInd w:val="0"/>
      <w:spacing w:after="468"/>
      <w:jc w:val="left"/>
    </w:pPr>
    <w:rPr>
      <w:rFonts w:ascii="宋体"/>
      <w:kern w:val="0"/>
      <w:sz w:val="24"/>
      <w:szCs w:val="24"/>
    </w:rPr>
  </w:style>
  <w:style w:type="paragraph" w:customStyle="1" w:styleId="24">
    <w:name w:val=" Char Char Char Char Char Char Char Char Char"/>
    <w:basedOn w:val="1"/>
    <w:qFormat/>
    <w:uiPriority w:val="0"/>
    <w:pPr>
      <w:numPr>
        <w:ilvl w:val="0"/>
        <w:numId w:val="1"/>
      </w:numPr>
    </w:pPr>
    <w:rPr>
      <w:sz w:val="24"/>
      <w:szCs w:val="24"/>
    </w:rPr>
  </w:style>
  <w:style w:type="paragraph" w:customStyle="1" w:styleId="25">
    <w:name w:val="CM2"/>
    <w:basedOn w:val="1"/>
    <w:next w:val="1"/>
    <w:qFormat/>
    <w:uiPriority w:val="0"/>
    <w:pPr>
      <w:autoSpaceDE w:val="0"/>
      <w:autoSpaceDN w:val="0"/>
      <w:adjustRightInd w:val="0"/>
      <w:spacing w:line="511" w:lineRule="atLeast"/>
      <w:jc w:val="left"/>
    </w:pPr>
    <w:rPr>
      <w:rFonts w:ascii="宋体"/>
      <w:kern w:val="0"/>
      <w:sz w:val="24"/>
      <w:szCs w:val="24"/>
    </w:rPr>
  </w:style>
  <w:style w:type="paragraph" w:customStyle="1" w:styleId="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7">
    <w:name w:val="fontstyle01"/>
    <w:qFormat/>
    <w:uiPriority w:val="0"/>
    <w:rPr>
      <w:rFonts w:hint="eastAsia" w:ascii="宋体" w:hAnsi="宋体" w:eastAsia="宋体"/>
      <w:color w:val="000000"/>
      <w:sz w:val="24"/>
      <w:szCs w:val="24"/>
    </w:rPr>
  </w:style>
  <w:style w:type="paragraph" w:customStyle="1" w:styleId="28">
    <w:name w:val="CM11"/>
    <w:basedOn w:val="1"/>
    <w:next w:val="1"/>
    <w:qFormat/>
    <w:uiPriority w:val="0"/>
    <w:pPr>
      <w:autoSpaceDE w:val="0"/>
      <w:autoSpaceDN w:val="0"/>
      <w:adjustRightInd w:val="0"/>
      <w:spacing w:line="626" w:lineRule="atLeast"/>
      <w:jc w:val="left"/>
    </w:pPr>
    <w:rPr>
      <w:rFonts w:ascii="仿宋_GB2312" w:eastAsia="仿宋_GB2312"/>
      <w:kern w:val="0"/>
      <w:sz w:val="24"/>
      <w:szCs w:val="24"/>
    </w:rPr>
  </w:style>
  <w:style w:type="paragraph" w:customStyle="1" w:styleId="29">
    <w:name w:val="CM10"/>
    <w:basedOn w:val="26"/>
    <w:next w:val="26"/>
    <w:qFormat/>
    <w:uiPriority w:val="0"/>
    <w:pPr>
      <w:spacing w:after="723"/>
    </w:pPr>
    <w:rPr>
      <w:rFonts w:ascii="黑体" w:hAnsi="Times New Roman" w:eastAsia="黑体" w:cs="Times New Roman"/>
      <w:color w:val="auto"/>
    </w:rPr>
  </w:style>
  <w:style w:type="paragraph"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2621</Words>
  <Characters>2868</Characters>
  <Lines>55</Lines>
  <Paragraphs>15</Paragraphs>
  <TotalTime>0</TotalTime>
  <ScaleCrop>false</ScaleCrop>
  <LinksUpToDate>false</LinksUpToDate>
  <CharactersWithSpaces>2871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2018-04-09T06:33:00Z</dcterms:created>
  <dc:creator>qw</dc:creator>
  <cp:lastModifiedBy>海涛</cp:lastModifiedBy>
  <cp:lastPrinted>2017-05-27T01:49:00Z</cp:lastPrinted>
  <dcterms:modified xsi:type="dcterms:W3CDTF">2024-08-29T07:17:14Z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807A6A146E814AFDA4C7B6767DAA54B1_13</vt:lpwstr>
  </property>
</Properties>
</file>